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38269" w14:textId="77777777" w:rsidR="008160EE" w:rsidRPr="009E4779" w:rsidRDefault="008160EE" w:rsidP="008160EE">
      <w:pPr>
        <w:jc w:val="center"/>
        <w:rPr>
          <w:b/>
        </w:rPr>
      </w:pPr>
      <w:r w:rsidRPr="009E4779">
        <w:rPr>
          <w:b/>
        </w:rPr>
        <w:t>TIJANA KRSTIĆ</w:t>
      </w:r>
    </w:p>
    <w:p w14:paraId="4E8EDF45" w14:textId="77777777" w:rsidR="008160EE" w:rsidRPr="009E4779" w:rsidRDefault="008160EE" w:rsidP="008160EE">
      <w:pPr>
        <w:widowControl w:val="0"/>
        <w:tabs>
          <w:tab w:val="left" w:pos="220"/>
          <w:tab w:val="left" w:pos="720"/>
        </w:tabs>
        <w:autoSpaceDE w:val="0"/>
        <w:autoSpaceDN w:val="0"/>
        <w:adjustRightInd w:val="0"/>
        <w:rPr>
          <w:rFonts w:cs="Times New Roman"/>
          <w:color w:val="141414"/>
        </w:rPr>
      </w:pPr>
    </w:p>
    <w:p w14:paraId="5A182DD6" w14:textId="77777777" w:rsidR="008160EE" w:rsidRPr="009E4779" w:rsidRDefault="008160EE" w:rsidP="008160EE">
      <w:pPr>
        <w:widowControl w:val="0"/>
        <w:tabs>
          <w:tab w:val="left" w:pos="220"/>
          <w:tab w:val="left" w:pos="720"/>
        </w:tabs>
        <w:autoSpaceDE w:val="0"/>
        <w:autoSpaceDN w:val="0"/>
        <w:adjustRightInd w:val="0"/>
        <w:rPr>
          <w:rFonts w:cs="Times New Roman"/>
        </w:rPr>
      </w:pPr>
      <w:r w:rsidRPr="009E4779">
        <w:rPr>
          <w:rFonts w:cs="Times New Roman"/>
          <w:b/>
          <w:color w:val="141414"/>
        </w:rPr>
        <w:t>Nationality</w:t>
      </w:r>
      <w:r w:rsidRPr="009E4779">
        <w:rPr>
          <w:rFonts w:cs="Times New Roman"/>
          <w:color w:val="141414"/>
        </w:rPr>
        <w:t>: Hungarian</w:t>
      </w:r>
    </w:p>
    <w:p w14:paraId="6CA3476D" w14:textId="77777777" w:rsidR="008160EE" w:rsidRPr="009E4779" w:rsidRDefault="008160EE" w:rsidP="008160EE">
      <w:pPr>
        <w:widowControl w:val="0"/>
        <w:tabs>
          <w:tab w:val="left" w:pos="220"/>
          <w:tab w:val="left" w:pos="720"/>
        </w:tabs>
        <w:autoSpaceDE w:val="0"/>
        <w:autoSpaceDN w:val="0"/>
        <w:adjustRightInd w:val="0"/>
        <w:rPr>
          <w:rFonts w:cs="Times New Roman"/>
        </w:rPr>
      </w:pPr>
      <w:r w:rsidRPr="009E4779">
        <w:rPr>
          <w:rFonts w:cs="Times New Roman"/>
          <w:b/>
          <w:color w:val="141414"/>
        </w:rPr>
        <w:t>Date of birth</w:t>
      </w:r>
      <w:r w:rsidRPr="009E4779">
        <w:rPr>
          <w:rFonts w:cs="Times New Roman"/>
          <w:color w:val="141414"/>
        </w:rPr>
        <w:t>: September 18, 1975</w:t>
      </w:r>
    </w:p>
    <w:p w14:paraId="4EF814E3" w14:textId="77777777" w:rsidR="008160EE" w:rsidRPr="009E4779" w:rsidRDefault="008160EE" w:rsidP="008160EE">
      <w:pPr>
        <w:widowControl w:val="0"/>
        <w:tabs>
          <w:tab w:val="left" w:pos="220"/>
          <w:tab w:val="left" w:pos="720"/>
        </w:tabs>
        <w:autoSpaceDE w:val="0"/>
        <w:autoSpaceDN w:val="0"/>
        <w:adjustRightInd w:val="0"/>
        <w:rPr>
          <w:rFonts w:cs="Times New Roman"/>
        </w:rPr>
      </w:pPr>
      <w:r w:rsidRPr="009E4779">
        <w:rPr>
          <w:rFonts w:cs="Times New Roman"/>
          <w:b/>
          <w:color w:val="141414"/>
        </w:rPr>
        <w:t>Address</w:t>
      </w:r>
      <w:r w:rsidRPr="009E4779">
        <w:rPr>
          <w:rFonts w:cs="Times New Roman"/>
          <w:color w:val="141414"/>
        </w:rPr>
        <w:t>: Medieval Studies Department, Central European University, Nador utca 9, 1051 Budapest, Hungary </w:t>
      </w:r>
    </w:p>
    <w:p w14:paraId="1E461EB6" w14:textId="77777777" w:rsidR="008160EE" w:rsidRPr="009E4779" w:rsidRDefault="008160EE" w:rsidP="008160EE">
      <w:pPr>
        <w:rPr>
          <w:b/>
        </w:rPr>
      </w:pPr>
      <w:r w:rsidRPr="009E4779">
        <w:rPr>
          <w:rFonts w:cs="Times New Roman"/>
          <w:b/>
          <w:color w:val="141414"/>
        </w:rPr>
        <w:t>Email</w:t>
      </w:r>
      <w:r w:rsidRPr="009E4779">
        <w:rPr>
          <w:rFonts w:cs="Times New Roman"/>
          <w:color w:val="141414"/>
        </w:rPr>
        <w:t xml:space="preserve">: </w:t>
      </w:r>
      <w:hyperlink r:id="rId6" w:history="1">
        <w:r w:rsidRPr="009E4779">
          <w:rPr>
            <w:rStyle w:val="Hyperlink"/>
            <w:rFonts w:cs="Times New Roman"/>
          </w:rPr>
          <w:t>krstict@ceu.edu</w:t>
        </w:r>
      </w:hyperlink>
      <w:r w:rsidRPr="009E4779">
        <w:rPr>
          <w:rFonts w:cs="Times New Roman"/>
          <w:color w:val="141414"/>
        </w:rPr>
        <w:t>; tijana.krstic@gmail.com</w:t>
      </w:r>
    </w:p>
    <w:p w14:paraId="0314E238" w14:textId="77777777" w:rsidR="008160EE" w:rsidRPr="009E4779" w:rsidRDefault="008160EE" w:rsidP="008160EE">
      <w:pPr>
        <w:jc w:val="center"/>
        <w:rPr>
          <w:b/>
        </w:rPr>
      </w:pPr>
    </w:p>
    <w:p w14:paraId="5337375D" w14:textId="77777777" w:rsidR="008160EE" w:rsidRPr="009E4779" w:rsidRDefault="008160EE" w:rsidP="008160EE">
      <w:pPr>
        <w:rPr>
          <w:u w:val="single"/>
        </w:rPr>
      </w:pPr>
      <w:r w:rsidRPr="009E4779">
        <w:rPr>
          <w:u w:val="single"/>
        </w:rPr>
        <w:t>Education</w:t>
      </w:r>
    </w:p>
    <w:p w14:paraId="0853CD66" w14:textId="77777777" w:rsidR="008160EE" w:rsidRPr="009E4779" w:rsidRDefault="008160EE" w:rsidP="008160EE">
      <w:r w:rsidRPr="009E4779">
        <w:t>1998—2004</w:t>
      </w:r>
      <w:r w:rsidRPr="009E4779">
        <w:tab/>
      </w:r>
      <w:r w:rsidRPr="009E4779">
        <w:tab/>
        <w:t>University of Michigan, Ann Arbor</w:t>
      </w:r>
    </w:p>
    <w:p w14:paraId="11FB67AC" w14:textId="77777777" w:rsidR="008160EE" w:rsidRPr="009E4779" w:rsidRDefault="008160EE" w:rsidP="008160EE">
      <w:r w:rsidRPr="009E4779">
        <w:tab/>
      </w:r>
      <w:r w:rsidRPr="009E4779">
        <w:tab/>
      </w:r>
      <w:r w:rsidRPr="009E4779">
        <w:tab/>
        <w:t xml:space="preserve">Ph. D. in History </w:t>
      </w:r>
    </w:p>
    <w:p w14:paraId="74C4EC00" w14:textId="77777777" w:rsidR="008160EE" w:rsidRPr="009E4779" w:rsidRDefault="008160EE" w:rsidP="008160EE"/>
    <w:p w14:paraId="419EB6E2" w14:textId="77777777" w:rsidR="008160EE" w:rsidRPr="009E4779" w:rsidRDefault="008160EE" w:rsidP="008160EE">
      <w:r w:rsidRPr="009E4779">
        <w:t>1998—1999                 University of Michigan, Ann Arbor</w:t>
      </w:r>
    </w:p>
    <w:p w14:paraId="00DAD1C0" w14:textId="77777777" w:rsidR="008160EE" w:rsidRPr="009E4779" w:rsidRDefault="008160EE" w:rsidP="008160EE">
      <w:r w:rsidRPr="009E4779">
        <w:tab/>
      </w:r>
      <w:r w:rsidRPr="009E4779">
        <w:tab/>
      </w:r>
      <w:r w:rsidRPr="009E4779">
        <w:tab/>
        <w:t>M.A. in History</w:t>
      </w:r>
    </w:p>
    <w:p w14:paraId="65AD5777" w14:textId="77777777" w:rsidR="008160EE" w:rsidRPr="009E4779" w:rsidRDefault="008160EE" w:rsidP="008160EE">
      <w:r w:rsidRPr="009E4779">
        <w:tab/>
      </w:r>
    </w:p>
    <w:p w14:paraId="46014A38" w14:textId="77777777" w:rsidR="008160EE" w:rsidRPr="009E4779" w:rsidRDefault="008160EE" w:rsidP="008160EE">
      <w:r w:rsidRPr="009E4779">
        <w:t>1994—1998                American University in Bulgaria (AUBG)</w:t>
      </w:r>
    </w:p>
    <w:p w14:paraId="3A89316B" w14:textId="77777777" w:rsidR="008160EE" w:rsidRPr="009E4779" w:rsidRDefault="008160EE" w:rsidP="008160EE">
      <w:pPr>
        <w:ind w:left="2160"/>
      </w:pPr>
      <w:r w:rsidRPr="009E4779">
        <w:t xml:space="preserve">B.A. (Summa Cum Laude) in History and Southeast European Studies </w:t>
      </w:r>
    </w:p>
    <w:p w14:paraId="3C399F00" w14:textId="77777777" w:rsidR="008160EE" w:rsidRPr="009E4779" w:rsidRDefault="008160EE" w:rsidP="008160EE"/>
    <w:p w14:paraId="0995A7A2" w14:textId="77777777" w:rsidR="008160EE" w:rsidRPr="009E4779" w:rsidRDefault="008160EE" w:rsidP="008160EE">
      <w:pPr>
        <w:rPr>
          <w:b/>
        </w:rPr>
      </w:pPr>
      <w:r w:rsidRPr="009E4779">
        <w:rPr>
          <w:u w:val="single"/>
        </w:rPr>
        <w:t>Work Experience</w:t>
      </w:r>
      <w:r w:rsidRPr="009E4779">
        <w:rPr>
          <w:b/>
        </w:rPr>
        <w:t>:</w:t>
      </w:r>
    </w:p>
    <w:p w14:paraId="4D4CA327" w14:textId="77777777" w:rsidR="008160EE" w:rsidRPr="009E4779" w:rsidRDefault="008160EE" w:rsidP="008160EE">
      <w:r w:rsidRPr="009E4779">
        <w:t>Fall 2011-present</w:t>
      </w:r>
      <w:r w:rsidRPr="009E4779">
        <w:tab/>
      </w:r>
      <w:r w:rsidRPr="009E4779">
        <w:tab/>
        <w:t xml:space="preserve">Associate Professor </w:t>
      </w:r>
    </w:p>
    <w:p w14:paraId="101BFCF1" w14:textId="77777777" w:rsidR="008160EE" w:rsidRPr="009E4779" w:rsidRDefault="008160EE" w:rsidP="008160EE">
      <w:pPr>
        <w:ind w:left="2880"/>
      </w:pPr>
      <w:r w:rsidRPr="009E4779">
        <w:t>Medieval Studies Department, Central European University</w:t>
      </w:r>
    </w:p>
    <w:p w14:paraId="1CC36100" w14:textId="77777777" w:rsidR="008160EE" w:rsidRPr="009E4779" w:rsidRDefault="008160EE" w:rsidP="008160EE">
      <w:pPr>
        <w:rPr>
          <w:b/>
        </w:rPr>
      </w:pPr>
    </w:p>
    <w:p w14:paraId="0E6D005D" w14:textId="77777777" w:rsidR="008160EE" w:rsidRPr="009E4779" w:rsidRDefault="008160EE" w:rsidP="008160EE">
      <w:r w:rsidRPr="009E4779">
        <w:t>Fall 2009-Summer 2011</w:t>
      </w:r>
      <w:r w:rsidRPr="009E4779">
        <w:tab/>
        <w:t>Assistant Professor</w:t>
      </w:r>
    </w:p>
    <w:p w14:paraId="06B3AE94" w14:textId="77777777" w:rsidR="008160EE" w:rsidRPr="009E4779" w:rsidRDefault="008160EE" w:rsidP="008160EE">
      <w:r w:rsidRPr="009E4779">
        <w:tab/>
      </w:r>
      <w:r w:rsidRPr="009E4779">
        <w:tab/>
      </w:r>
      <w:r w:rsidRPr="009E4779">
        <w:tab/>
      </w:r>
      <w:r w:rsidRPr="009E4779">
        <w:tab/>
        <w:t xml:space="preserve">Medieval Studies Department, Central European </w:t>
      </w:r>
      <w:r w:rsidRPr="009E4779">
        <w:tab/>
      </w:r>
      <w:r w:rsidRPr="009E4779">
        <w:tab/>
      </w:r>
      <w:r w:rsidRPr="009E4779">
        <w:tab/>
      </w:r>
      <w:r w:rsidRPr="009E4779">
        <w:tab/>
      </w:r>
      <w:r w:rsidRPr="009E4779">
        <w:tab/>
      </w:r>
      <w:r w:rsidRPr="009E4779">
        <w:tab/>
        <w:t>University</w:t>
      </w:r>
    </w:p>
    <w:p w14:paraId="363D1F7C" w14:textId="77777777" w:rsidR="008160EE" w:rsidRPr="009E4779" w:rsidRDefault="008160EE" w:rsidP="008160EE">
      <w:r w:rsidRPr="009E4779">
        <w:tab/>
      </w:r>
      <w:r w:rsidRPr="009E4779">
        <w:tab/>
      </w:r>
      <w:r w:rsidRPr="009E4779">
        <w:tab/>
      </w:r>
      <w:r w:rsidRPr="009E4779">
        <w:tab/>
      </w:r>
      <w:r w:rsidRPr="009E4779">
        <w:tab/>
      </w:r>
    </w:p>
    <w:p w14:paraId="61EDA8F8" w14:textId="77777777" w:rsidR="008160EE" w:rsidRPr="009E4779" w:rsidRDefault="008160EE" w:rsidP="008160EE">
      <w:r w:rsidRPr="009E4779">
        <w:rPr>
          <w:bCs/>
        </w:rPr>
        <w:t>Fall 2006-Summer 2009</w:t>
      </w:r>
      <w:r w:rsidRPr="009E4779">
        <w:rPr>
          <w:b/>
        </w:rPr>
        <w:tab/>
      </w:r>
      <w:r w:rsidRPr="009E4779">
        <w:t>Assistant Professor</w:t>
      </w:r>
    </w:p>
    <w:p w14:paraId="75781286" w14:textId="77777777" w:rsidR="008160EE" w:rsidRPr="009E4779" w:rsidRDefault="008160EE" w:rsidP="008160EE">
      <w:pPr>
        <w:ind w:left="2160" w:firstLine="720"/>
      </w:pPr>
      <w:r w:rsidRPr="009E4779">
        <w:t xml:space="preserve">Department of History, Pennsylvania State University </w:t>
      </w:r>
    </w:p>
    <w:p w14:paraId="1A6B961E" w14:textId="77777777" w:rsidR="008160EE" w:rsidRPr="009E4779" w:rsidRDefault="008160EE" w:rsidP="008160EE"/>
    <w:p w14:paraId="2C6AC50E" w14:textId="77777777" w:rsidR="008160EE" w:rsidRPr="009E4779" w:rsidRDefault="008160EE" w:rsidP="008160EE">
      <w:pPr>
        <w:ind w:left="2880" w:hanging="2880"/>
      </w:pPr>
      <w:r w:rsidRPr="009E4779">
        <w:t>Fall 2004-Summer 2006</w:t>
      </w:r>
      <w:r w:rsidRPr="009E4779">
        <w:tab/>
        <w:t>A. W. Mellon Postdoctoral Fellow in Islamic and Middle Eastern Studies, Northwestern University</w:t>
      </w:r>
    </w:p>
    <w:p w14:paraId="171680DB" w14:textId="77777777" w:rsidR="008160EE" w:rsidRPr="009E4779" w:rsidRDefault="008160EE" w:rsidP="008160EE">
      <w:pPr>
        <w:ind w:left="2880" w:hanging="2880"/>
      </w:pPr>
    </w:p>
    <w:p w14:paraId="555A1212" w14:textId="77777777" w:rsidR="008160EE" w:rsidRPr="009E4779" w:rsidRDefault="008160EE" w:rsidP="008160EE">
      <w:pPr>
        <w:ind w:left="2880" w:hanging="2880"/>
      </w:pPr>
      <w:r w:rsidRPr="009E4779">
        <w:t>Spring 2004</w:t>
      </w:r>
      <w:r w:rsidRPr="009E4779">
        <w:tab/>
        <w:t xml:space="preserve">Lecturer </w:t>
      </w:r>
    </w:p>
    <w:p w14:paraId="7B74256F" w14:textId="77777777" w:rsidR="008160EE" w:rsidRPr="009E4779" w:rsidRDefault="008160EE" w:rsidP="008160EE">
      <w:pPr>
        <w:ind w:left="2880" w:hanging="2880"/>
      </w:pPr>
      <w:r w:rsidRPr="009E4779">
        <w:tab/>
        <w:t xml:space="preserve">Sabancı University, Istanbul </w:t>
      </w:r>
      <w:r w:rsidRPr="009E4779">
        <w:tab/>
      </w:r>
    </w:p>
    <w:p w14:paraId="31CD1EEB" w14:textId="77777777" w:rsidR="008160EE" w:rsidRPr="009E4779" w:rsidRDefault="008160EE" w:rsidP="008160EE">
      <w:pPr>
        <w:ind w:left="2880" w:hanging="2880"/>
      </w:pPr>
      <w:r w:rsidRPr="009E4779">
        <w:t xml:space="preserve"> </w:t>
      </w:r>
    </w:p>
    <w:p w14:paraId="2527E022" w14:textId="77777777" w:rsidR="008160EE" w:rsidRPr="009E4779" w:rsidRDefault="008160EE" w:rsidP="008160EE">
      <w:pPr>
        <w:pStyle w:val="Heading1"/>
        <w:rPr>
          <w:rFonts w:asciiTheme="minorHAnsi" w:hAnsiTheme="minorHAnsi"/>
          <w:b w:val="0"/>
          <w:u w:val="single"/>
        </w:rPr>
      </w:pPr>
      <w:r w:rsidRPr="009E4779">
        <w:rPr>
          <w:rFonts w:asciiTheme="minorHAnsi" w:hAnsiTheme="minorHAnsi"/>
          <w:b w:val="0"/>
          <w:u w:val="single"/>
        </w:rPr>
        <w:t>Fellowships and Awards</w:t>
      </w:r>
    </w:p>
    <w:p w14:paraId="05CE4C20" w14:textId="77777777" w:rsidR="008160EE" w:rsidRPr="009E4779" w:rsidRDefault="008160EE" w:rsidP="008160EE"/>
    <w:p w14:paraId="564B1DF2" w14:textId="77777777" w:rsidR="008160EE" w:rsidRPr="009E4779" w:rsidRDefault="008160EE" w:rsidP="008160EE">
      <w:r w:rsidRPr="009E4779">
        <w:t>February 2015</w:t>
      </w:r>
      <w:r w:rsidRPr="009E4779">
        <w:tab/>
        <w:t>European Research Council, Consolidator Grant 2014</w:t>
      </w:r>
    </w:p>
    <w:p w14:paraId="1AC8C135" w14:textId="77777777" w:rsidR="008160EE" w:rsidRPr="009E4779" w:rsidRDefault="008160EE" w:rsidP="008160EE">
      <w:pPr>
        <w:ind w:left="2160"/>
      </w:pPr>
      <w:r w:rsidRPr="009E4779">
        <w:t>Principal Investigator, “The Fashioning of a Sunni Orthodoxy and the Entangled Histories of Confession Building in the Ottoman Empire, 15</w:t>
      </w:r>
      <w:r w:rsidRPr="009E4779">
        <w:rPr>
          <w:vertAlign w:val="superscript"/>
        </w:rPr>
        <w:t>th</w:t>
      </w:r>
      <w:r w:rsidRPr="009E4779">
        <w:t>-17</w:t>
      </w:r>
      <w:r w:rsidRPr="009E4779">
        <w:rPr>
          <w:vertAlign w:val="superscript"/>
        </w:rPr>
        <w:t>th</w:t>
      </w:r>
      <w:r w:rsidRPr="009E4779">
        <w:t xml:space="preserve"> Centuries” (to run from Sept. 2015 to Aug. 2020)</w:t>
      </w:r>
    </w:p>
    <w:p w14:paraId="22A8BE23" w14:textId="77777777" w:rsidR="008160EE" w:rsidRPr="009E4779" w:rsidRDefault="008160EE" w:rsidP="008160EE"/>
    <w:p w14:paraId="3E92FAD0" w14:textId="77777777" w:rsidR="008160EE" w:rsidRPr="009E4779" w:rsidRDefault="008160EE" w:rsidP="008160EE">
      <w:pPr>
        <w:ind w:left="2160" w:hanging="2160"/>
      </w:pPr>
      <w:r w:rsidRPr="009E4779">
        <w:lastRenderedPageBreak/>
        <w:t>November 2009</w:t>
      </w:r>
      <w:r w:rsidRPr="009E4779">
        <w:tab/>
        <w:t xml:space="preserve">The Ömer Lütfi Barkan Article Prize for the best article published in the previous two years in the field of Ottoman and Turkish studies, awarded by the Turkish Studies Association for the article “Illuminated by the Light of Islam and the Glory of the Ottoman Sultanate: Self-Narratives of Conversion to Islam in the Age of Confessionalization,” </w:t>
      </w:r>
      <w:r w:rsidRPr="009E4779">
        <w:rPr>
          <w:i/>
        </w:rPr>
        <w:t xml:space="preserve">Comparative Studies in Society and History </w:t>
      </w:r>
      <w:r w:rsidRPr="009E4779">
        <w:t xml:space="preserve">51/1 (2009): 35-63. </w:t>
      </w:r>
    </w:p>
    <w:p w14:paraId="27ACDCF3" w14:textId="77777777" w:rsidR="008160EE" w:rsidRPr="009E4779" w:rsidRDefault="008160EE" w:rsidP="008160EE"/>
    <w:p w14:paraId="2DA51285" w14:textId="77777777" w:rsidR="008160EE" w:rsidRPr="009E4779" w:rsidRDefault="008160EE" w:rsidP="008160EE">
      <w:r w:rsidRPr="009E4779">
        <w:t>2009-2010</w:t>
      </w:r>
      <w:r w:rsidRPr="009E4779">
        <w:tab/>
      </w:r>
      <w:r w:rsidRPr="009E4779">
        <w:tab/>
        <w:t>American Research Institute in Turkey/NEH Fellowship</w:t>
      </w:r>
      <w:r w:rsidRPr="009E4779">
        <w:tab/>
      </w:r>
    </w:p>
    <w:p w14:paraId="30C453A8" w14:textId="77777777" w:rsidR="008160EE" w:rsidRPr="009E4779" w:rsidRDefault="008160EE" w:rsidP="008160EE"/>
    <w:p w14:paraId="76CA179D" w14:textId="77777777" w:rsidR="008160EE" w:rsidRPr="009E4779" w:rsidRDefault="008160EE" w:rsidP="008160EE">
      <w:r w:rsidRPr="009E4779">
        <w:t>2009-2010</w:t>
      </w:r>
      <w:r w:rsidRPr="009E4779">
        <w:tab/>
      </w:r>
      <w:r w:rsidRPr="009E4779">
        <w:tab/>
        <w:t xml:space="preserve">ACLS Fellowship </w:t>
      </w:r>
    </w:p>
    <w:p w14:paraId="41F8DC18" w14:textId="77777777" w:rsidR="008160EE" w:rsidRPr="009E4779" w:rsidRDefault="008160EE" w:rsidP="008160EE"/>
    <w:p w14:paraId="03205A84" w14:textId="77777777" w:rsidR="008160EE" w:rsidRPr="009E4779" w:rsidRDefault="008160EE" w:rsidP="008160EE">
      <w:pPr>
        <w:ind w:left="2160" w:hanging="2160"/>
      </w:pPr>
      <w:r w:rsidRPr="009E4779">
        <w:t>2004-2006</w:t>
      </w:r>
      <w:r w:rsidRPr="009E4779">
        <w:tab/>
      </w:r>
      <w:r w:rsidRPr="009E4779">
        <w:rPr>
          <w:bCs/>
        </w:rPr>
        <w:t>Andrew W. Mellon Postdoctoral Fellowship in Islamic and Middle Eastern Studies (2004-2006) —</w:t>
      </w:r>
      <w:r w:rsidRPr="009E4779">
        <w:t>Northwestern University</w:t>
      </w:r>
    </w:p>
    <w:p w14:paraId="0B3D2C9C" w14:textId="77777777" w:rsidR="008160EE" w:rsidRPr="009E4779" w:rsidRDefault="008160EE" w:rsidP="008160EE">
      <w:pPr>
        <w:ind w:left="2160" w:hanging="2160"/>
      </w:pPr>
    </w:p>
    <w:p w14:paraId="44E5080F" w14:textId="77777777" w:rsidR="008160EE" w:rsidRPr="009E4779" w:rsidRDefault="008160EE" w:rsidP="008160EE">
      <w:pPr>
        <w:ind w:left="2160" w:hanging="2160"/>
      </w:pPr>
      <w:r w:rsidRPr="009E4779">
        <w:t xml:space="preserve">2003-2004 </w:t>
      </w:r>
      <w:r w:rsidRPr="009E4779">
        <w:tab/>
      </w:r>
      <w:r w:rsidRPr="009E4779">
        <w:rPr>
          <w:bCs/>
        </w:rPr>
        <w:t xml:space="preserve">University of Michigan, International Institute—Vaclav Havel Dissertation Award </w:t>
      </w:r>
    </w:p>
    <w:p w14:paraId="2172F871" w14:textId="77777777" w:rsidR="008160EE" w:rsidRPr="009E4779" w:rsidRDefault="008160EE" w:rsidP="008160EE"/>
    <w:p w14:paraId="52B1B8CD" w14:textId="77777777" w:rsidR="008160EE" w:rsidRPr="009E4779" w:rsidRDefault="008160EE" w:rsidP="008160EE">
      <w:pPr>
        <w:ind w:left="2160" w:hanging="2160"/>
      </w:pPr>
      <w:proofErr w:type="gramStart"/>
      <w:r w:rsidRPr="009E4779">
        <w:t xml:space="preserve">2002-2003 </w:t>
      </w:r>
      <w:r w:rsidRPr="009E4779">
        <w:tab/>
      </w:r>
      <w:r w:rsidRPr="009E4779">
        <w:rPr>
          <w:bCs/>
        </w:rPr>
        <w:t>Social Science</w:t>
      </w:r>
      <w:proofErr w:type="gramEnd"/>
      <w:r w:rsidRPr="009E4779">
        <w:rPr>
          <w:bCs/>
        </w:rPr>
        <w:t xml:space="preserve"> Research Council—</w:t>
      </w:r>
      <w:r w:rsidRPr="009E4779">
        <w:t>International Dissertation Field Research Fellowship</w:t>
      </w:r>
    </w:p>
    <w:p w14:paraId="070B81B1" w14:textId="77777777" w:rsidR="008160EE" w:rsidRPr="009E4779" w:rsidRDefault="008160EE" w:rsidP="008160EE">
      <w:pPr>
        <w:ind w:left="2160" w:hanging="2160"/>
      </w:pPr>
    </w:p>
    <w:p w14:paraId="5F7B2862" w14:textId="77777777" w:rsidR="008160EE" w:rsidRPr="009E4779" w:rsidRDefault="008160EE" w:rsidP="008160EE">
      <w:pPr>
        <w:ind w:left="2160" w:hanging="2160"/>
      </w:pPr>
      <w:r w:rsidRPr="009E4779">
        <w:t xml:space="preserve">2003 </w:t>
      </w:r>
      <w:r w:rsidRPr="009E4779">
        <w:tab/>
      </w:r>
      <w:r w:rsidRPr="009E4779">
        <w:rPr>
          <w:bCs/>
        </w:rPr>
        <w:t>American Research Institute in Turkey—</w:t>
      </w:r>
      <w:r w:rsidRPr="009E4779">
        <w:t>Dissertation Research</w:t>
      </w:r>
    </w:p>
    <w:p w14:paraId="12C92394" w14:textId="77777777" w:rsidR="008160EE" w:rsidRPr="009E4779" w:rsidRDefault="008160EE" w:rsidP="008160EE">
      <w:pPr>
        <w:ind w:left="2160"/>
      </w:pPr>
      <w:r w:rsidRPr="009E4779">
        <w:t>Fellowship</w:t>
      </w:r>
    </w:p>
    <w:p w14:paraId="49668E6D" w14:textId="77777777" w:rsidR="008160EE" w:rsidRPr="009E4779" w:rsidRDefault="008160EE" w:rsidP="008160EE">
      <w:pPr>
        <w:tabs>
          <w:tab w:val="left" w:pos="2160"/>
          <w:tab w:val="left" w:pos="2340"/>
        </w:tabs>
        <w:ind w:left="2160" w:hanging="2160"/>
      </w:pPr>
    </w:p>
    <w:p w14:paraId="7E72C522" w14:textId="77777777" w:rsidR="008160EE" w:rsidRPr="009E4779" w:rsidRDefault="008160EE" w:rsidP="008160EE">
      <w:pPr>
        <w:tabs>
          <w:tab w:val="left" w:pos="2160"/>
          <w:tab w:val="left" w:pos="2340"/>
        </w:tabs>
        <w:ind w:left="2160" w:hanging="2160"/>
        <w:rPr>
          <w:bCs/>
        </w:rPr>
      </w:pPr>
      <w:r w:rsidRPr="009E4779">
        <w:t xml:space="preserve">2001- 2002  </w:t>
      </w:r>
      <w:r w:rsidRPr="009E4779">
        <w:tab/>
        <w:t>Social Science Research Council—</w:t>
      </w:r>
      <w:r w:rsidRPr="009E4779">
        <w:rPr>
          <w:bCs/>
        </w:rPr>
        <w:t>International Pre-dissertation Fellowship</w:t>
      </w:r>
    </w:p>
    <w:p w14:paraId="1401ABE1" w14:textId="77777777" w:rsidR="008160EE" w:rsidRPr="009E4779" w:rsidRDefault="008160EE" w:rsidP="008160EE">
      <w:pPr>
        <w:tabs>
          <w:tab w:val="left" w:pos="2160"/>
          <w:tab w:val="left" w:pos="2340"/>
        </w:tabs>
        <w:ind w:left="2160" w:hanging="2160"/>
      </w:pPr>
    </w:p>
    <w:p w14:paraId="1F2B9A67" w14:textId="77777777" w:rsidR="008160EE" w:rsidRPr="009E4779" w:rsidRDefault="008160EE" w:rsidP="008160EE">
      <w:pPr>
        <w:tabs>
          <w:tab w:val="left" w:pos="2160"/>
          <w:tab w:val="left" w:pos="2340"/>
        </w:tabs>
        <w:ind w:left="2160" w:hanging="2160"/>
      </w:pPr>
      <w:r w:rsidRPr="009E4779">
        <w:t>1994-1998</w:t>
      </w:r>
      <w:r w:rsidRPr="009E4779">
        <w:tab/>
        <w:t>Open Society Foundation Scholarship to attend the American University in Bulgaria</w:t>
      </w:r>
    </w:p>
    <w:p w14:paraId="66CF15B7" w14:textId="77777777" w:rsidR="008160EE" w:rsidRPr="009E4779" w:rsidRDefault="008160EE" w:rsidP="008160EE">
      <w:pPr>
        <w:pStyle w:val="BodyText"/>
        <w:tabs>
          <w:tab w:val="left" w:pos="180"/>
        </w:tabs>
        <w:spacing w:before="240"/>
        <w:ind w:left="2160" w:hanging="2160"/>
        <w:jc w:val="left"/>
        <w:rPr>
          <w:rFonts w:asciiTheme="minorHAnsi" w:hAnsiTheme="minorHAnsi"/>
          <w:b w:val="0"/>
          <w:bCs w:val="0"/>
          <w:u w:val="single"/>
        </w:rPr>
      </w:pPr>
      <w:r w:rsidRPr="009E4779">
        <w:rPr>
          <w:rFonts w:asciiTheme="minorHAnsi" w:hAnsiTheme="minorHAnsi"/>
          <w:b w:val="0"/>
          <w:bCs w:val="0"/>
          <w:u w:val="single"/>
        </w:rPr>
        <w:t>Publications</w:t>
      </w:r>
    </w:p>
    <w:p w14:paraId="31810571" w14:textId="77777777" w:rsidR="008160EE" w:rsidRPr="009E4779" w:rsidRDefault="008160EE" w:rsidP="008160EE">
      <w:pPr>
        <w:pStyle w:val="BodyText"/>
        <w:tabs>
          <w:tab w:val="left" w:pos="180"/>
        </w:tabs>
        <w:spacing w:before="240"/>
        <w:ind w:left="2160" w:hanging="2160"/>
        <w:jc w:val="left"/>
        <w:rPr>
          <w:rFonts w:asciiTheme="minorHAnsi" w:hAnsiTheme="minorHAnsi"/>
          <w:b w:val="0"/>
          <w:u w:val="single"/>
        </w:rPr>
      </w:pPr>
      <w:r w:rsidRPr="009E4779">
        <w:rPr>
          <w:rFonts w:asciiTheme="minorHAnsi" w:hAnsiTheme="minorHAnsi"/>
          <w:b w:val="0"/>
          <w:u w:val="single"/>
        </w:rPr>
        <w:t>Book</w:t>
      </w:r>
      <w:r w:rsidR="004230A6" w:rsidRPr="009E4779">
        <w:rPr>
          <w:rFonts w:asciiTheme="minorHAnsi" w:hAnsiTheme="minorHAnsi"/>
          <w:b w:val="0"/>
          <w:u w:val="single"/>
        </w:rPr>
        <w:t>s</w:t>
      </w:r>
      <w:r w:rsidRPr="009E4779">
        <w:rPr>
          <w:rFonts w:asciiTheme="minorHAnsi" w:hAnsiTheme="minorHAnsi"/>
          <w:b w:val="0"/>
          <w:u w:val="single"/>
        </w:rPr>
        <w:t>:</w:t>
      </w:r>
    </w:p>
    <w:p w14:paraId="3DBA9279" w14:textId="77777777" w:rsidR="008160EE" w:rsidRPr="009E4779" w:rsidRDefault="008160EE" w:rsidP="008160EE">
      <w:pPr>
        <w:pStyle w:val="BodyText"/>
        <w:tabs>
          <w:tab w:val="left" w:pos="180"/>
        </w:tabs>
        <w:spacing w:before="240"/>
        <w:jc w:val="left"/>
        <w:rPr>
          <w:rFonts w:asciiTheme="minorHAnsi" w:hAnsiTheme="minorHAnsi"/>
          <w:b w:val="0"/>
        </w:rPr>
      </w:pPr>
      <w:r w:rsidRPr="009E4779">
        <w:rPr>
          <w:rFonts w:asciiTheme="minorHAnsi" w:hAnsiTheme="minorHAnsi"/>
          <w:b w:val="0"/>
          <w:i/>
          <w:iCs/>
        </w:rPr>
        <w:t xml:space="preserve">Contested Conversions to Islam: Narratives of Religious Change and Communal Politics in the Early Modern Ottoman Empire </w:t>
      </w:r>
      <w:r w:rsidRPr="009E4779">
        <w:rPr>
          <w:rFonts w:asciiTheme="minorHAnsi" w:hAnsiTheme="minorHAnsi"/>
          <w:b w:val="0"/>
        </w:rPr>
        <w:t>(Stanford Universit</w:t>
      </w:r>
      <w:bookmarkStart w:id="0" w:name="_GoBack"/>
      <w:bookmarkEnd w:id="0"/>
      <w:r w:rsidRPr="009E4779">
        <w:rPr>
          <w:rFonts w:asciiTheme="minorHAnsi" w:hAnsiTheme="minorHAnsi"/>
          <w:b w:val="0"/>
        </w:rPr>
        <w:t xml:space="preserve">y Press, 2011) </w:t>
      </w:r>
    </w:p>
    <w:p w14:paraId="3991FE4E" w14:textId="77777777" w:rsidR="008160EE" w:rsidRPr="009E4779" w:rsidRDefault="008160EE" w:rsidP="008160EE">
      <w:pPr>
        <w:pStyle w:val="BodyText"/>
        <w:tabs>
          <w:tab w:val="left" w:pos="180"/>
        </w:tabs>
        <w:spacing w:before="240"/>
        <w:jc w:val="left"/>
        <w:rPr>
          <w:rFonts w:asciiTheme="minorHAnsi" w:hAnsiTheme="minorHAnsi"/>
          <w:b w:val="0"/>
        </w:rPr>
      </w:pPr>
      <w:r w:rsidRPr="009E4779">
        <w:rPr>
          <w:rFonts w:asciiTheme="minorHAnsi" w:hAnsiTheme="minorHAnsi"/>
          <w:b w:val="0"/>
        </w:rPr>
        <w:t xml:space="preserve">Turkish translation:  </w:t>
      </w:r>
      <w:r w:rsidRPr="009E4779">
        <w:rPr>
          <w:rFonts w:asciiTheme="minorHAnsi" w:hAnsiTheme="minorHAnsi"/>
          <w:b w:val="0"/>
          <w:i/>
        </w:rPr>
        <w:t>Osmanlı Dünyasında İhtida Anlatıları, 15</w:t>
      </w:r>
      <w:proofErr w:type="gramStart"/>
      <w:r w:rsidRPr="009E4779">
        <w:rPr>
          <w:rFonts w:asciiTheme="minorHAnsi" w:hAnsiTheme="minorHAnsi"/>
          <w:b w:val="0"/>
          <w:i/>
        </w:rPr>
        <w:t>.-</w:t>
      </w:r>
      <w:proofErr w:type="gramEnd"/>
      <w:r w:rsidRPr="009E4779">
        <w:rPr>
          <w:rFonts w:asciiTheme="minorHAnsi" w:hAnsiTheme="minorHAnsi"/>
          <w:b w:val="0"/>
          <w:i/>
        </w:rPr>
        <w:t xml:space="preserve">17. Yüzyıllar </w:t>
      </w:r>
      <w:r w:rsidRPr="009E4779">
        <w:rPr>
          <w:rFonts w:asciiTheme="minorHAnsi" w:hAnsiTheme="minorHAnsi"/>
          <w:b w:val="0"/>
        </w:rPr>
        <w:t>(Istanbul: Kitabevi Yayınevi, 2015)</w:t>
      </w:r>
    </w:p>
    <w:p w14:paraId="30D5C1B7" w14:textId="77777777" w:rsidR="008160EE" w:rsidRPr="009E4779" w:rsidRDefault="008160EE" w:rsidP="008160EE">
      <w:pPr>
        <w:pStyle w:val="BodyText"/>
        <w:tabs>
          <w:tab w:val="left" w:pos="180"/>
        </w:tabs>
        <w:spacing w:before="240"/>
        <w:jc w:val="left"/>
        <w:rPr>
          <w:rFonts w:asciiTheme="minorHAnsi" w:hAnsiTheme="minorHAnsi"/>
          <w:b w:val="0"/>
        </w:rPr>
      </w:pPr>
      <w:r w:rsidRPr="009E4779">
        <w:rPr>
          <w:rFonts w:asciiTheme="minorHAnsi" w:hAnsiTheme="minorHAnsi"/>
          <w:b w:val="0"/>
          <w:u w:val="single"/>
        </w:rPr>
        <w:t>Articles and Book Chapters:</w:t>
      </w:r>
      <w:r w:rsidRPr="009E4779">
        <w:rPr>
          <w:rFonts w:asciiTheme="minorHAnsi" w:hAnsiTheme="minorHAnsi"/>
          <w:b w:val="0"/>
        </w:rPr>
        <w:t xml:space="preserve"> </w:t>
      </w:r>
    </w:p>
    <w:p w14:paraId="137558FC" w14:textId="77777777" w:rsidR="008160EE" w:rsidRPr="009E4779" w:rsidRDefault="008160EE" w:rsidP="008160EE">
      <w:pPr>
        <w:pStyle w:val="BodyText"/>
        <w:tabs>
          <w:tab w:val="left" w:pos="180"/>
        </w:tabs>
        <w:spacing w:before="240"/>
        <w:jc w:val="left"/>
        <w:rPr>
          <w:rFonts w:asciiTheme="minorHAnsi" w:hAnsiTheme="minorHAnsi"/>
          <w:b w:val="0"/>
        </w:rPr>
      </w:pPr>
      <w:r w:rsidRPr="009E4779">
        <w:rPr>
          <w:rFonts w:asciiTheme="minorHAnsi" w:hAnsiTheme="minorHAnsi"/>
          <w:b w:val="0"/>
        </w:rPr>
        <w:t xml:space="preserve">“Reading Abdallah b. Abdallah Tarjuman’s </w:t>
      </w:r>
      <w:r w:rsidRPr="009E4779">
        <w:rPr>
          <w:rFonts w:asciiTheme="minorHAnsi" w:hAnsiTheme="minorHAnsi"/>
          <w:b w:val="0"/>
          <w:i/>
        </w:rPr>
        <w:t>Tuhfa</w:t>
      </w:r>
      <w:r w:rsidRPr="009E4779">
        <w:rPr>
          <w:rFonts w:asciiTheme="minorHAnsi" w:hAnsiTheme="minorHAnsi"/>
          <w:b w:val="0"/>
        </w:rPr>
        <w:t xml:space="preserve"> (1420)</w:t>
      </w:r>
      <w:r w:rsidRPr="009E4779">
        <w:rPr>
          <w:rFonts w:asciiTheme="minorHAnsi" w:hAnsiTheme="minorHAnsi"/>
          <w:b w:val="0"/>
          <w:i/>
        </w:rPr>
        <w:t xml:space="preserve"> </w:t>
      </w:r>
      <w:r w:rsidRPr="009E4779">
        <w:rPr>
          <w:rFonts w:asciiTheme="minorHAnsi" w:hAnsiTheme="minorHAnsi"/>
          <w:b w:val="0"/>
        </w:rPr>
        <w:t xml:space="preserve">in the Ottoman Empire: </w:t>
      </w:r>
      <w:r w:rsidRPr="009E4779">
        <w:rPr>
          <w:rStyle w:val="Emphasis"/>
          <w:rFonts w:asciiTheme="minorHAnsi" w:hAnsiTheme="minorHAnsi"/>
          <w:b w:val="0"/>
          <w:i w:val="0"/>
          <w:shd w:val="clear" w:color="auto" w:fill="FFFFFF"/>
        </w:rPr>
        <w:t>Muslim-Christian Polemics and Intertextuality in the Age of Confessionalization</w:t>
      </w:r>
      <w:r w:rsidR="004230A6" w:rsidRPr="009E4779">
        <w:rPr>
          <w:rStyle w:val="Emphasis"/>
          <w:rFonts w:asciiTheme="minorHAnsi" w:hAnsiTheme="minorHAnsi"/>
          <w:b w:val="0"/>
          <w:i w:val="0"/>
          <w:shd w:val="clear" w:color="auto" w:fill="FFFFFF"/>
        </w:rPr>
        <w:t>,</w:t>
      </w:r>
      <w:r w:rsidRPr="009E4779">
        <w:rPr>
          <w:rFonts w:asciiTheme="minorHAnsi" w:hAnsiTheme="minorHAnsi"/>
          <w:b w:val="0"/>
        </w:rPr>
        <w:t xml:space="preserve">” </w:t>
      </w:r>
      <w:r w:rsidRPr="009E4779">
        <w:rPr>
          <w:rFonts w:asciiTheme="minorHAnsi" w:hAnsiTheme="minorHAnsi"/>
          <w:b w:val="0"/>
          <w:i/>
        </w:rPr>
        <w:t>Al-Qantara</w:t>
      </w:r>
      <w:r w:rsidR="004230A6" w:rsidRPr="009E4779">
        <w:rPr>
          <w:rFonts w:asciiTheme="minorHAnsi" w:hAnsiTheme="minorHAnsi"/>
          <w:b w:val="0"/>
        </w:rPr>
        <w:t xml:space="preserve"> 36/2 (2015): 341-401.</w:t>
      </w:r>
    </w:p>
    <w:p w14:paraId="17E36450" w14:textId="77777777" w:rsidR="008160EE" w:rsidRPr="009E4779" w:rsidRDefault="008160EE" w:rsidP="008160EE">
      <w:pPr>
        <w:pStyle w:val="Default"/>
        <w:rPr>
          <w:rFonts w:asciiTheme="minorHAnsi" w:hAnsiTheme="minorHAnsi" w:cs="Times New Roman"/>
        </w:rPr>
      </w:pPr>
    </w:p>
    <w:p w14:paraId="098BFD59" w14:textId="77777777" w:rsidR="008160EE" w:rsidRPr="009E4779" w:rsidRDefault="008160EE" w:rsidP="008160EE">
      <w:pPr>
        <w:pStyle w:val="Default"/>
        <w:rPr>
          <w:rFonts w:asciiTheme="minorHAnsi" w:hAnsiTheme="minorHAnsi" w:cs="Times New Roman"/>
        </w:rPr>
      </w:pPr>
    </w:p>
    <w:p w14:paraId="5A830038" w14:textId="77777777" w:rsidR="008160EE" w:rsidRPr="009E4779" w:rsidRDefault="008160EE" w:rsidP="00141780">
      <w:pPr>
        <w:widowControl w:val="0"/>
        <w:autoSpaceDE w:val="0"/>
        <w:autoSpaceDN w:val="0"/>
        <w:adjustRightInd w:val="0"/>
        <w:rPr>
          <w:rFonts w:cs="Times New Roman"/>
        </w:rPr>
      </w:pPr>
      <w:r w:rsidRPr="009E4779">
        <w:t>“</w:t>
      </w:r>
      <w:r w:rsidR="00141780" w:rsidRPr="009E4779">
        <w:rPr>
          <w:rFonts w:cs="Times New Roman"/>
        </w:rPr>
        <w:t>New Directions in the Study of</w:t>
      </w:r>
      <w:r w:rsidR="00141780" w:rsidRPr="009E4779">
        <w:rPr>
          <w:rFonts w:cs="Times New Roman"/>
        </w:rPr>
        <w:t xml:space="preserve"> Conversion to Islam in Ottoman </w:t>
      </w:r>
      <w:r w:rsidR="00141780" w:rsidRPr="009E4779">
        <w:rPr>
          <w:rFonts w:cs="Times New Roman"/>
        </w:rPr>
        <w:t>Rumeli, 14th – 17th Centuries – Reconsidering Methods, Theories</w:t>
      </w:r>
      <w:r w:rsidR="00141780" w:rsidRPr="009E4779">
        <w:rPr>
          <w:rFonts w:cs="Times New Roman"/>
        </w:rPr>
        <w:t xml:space="preserve"> </w:t>
      </w:r>
      <w:r w:rsidR="00141780" w:rsidRPr="009E4779">
        <w:rPr>
          <w:rFonts w:cs="Times New Roman"/>
        </w:rPr>
        <w:t>and Terminology</w:t>
      </w:r>
      <w:r w:rsidRPr="009E4779">
        <w:t xml:space="preserve">,” </w:t>
      </w:r>
      <w:r w:rsidRPr="009E4779">
        <w:rPr>
          <w:i/>
        </w:rPr>
        <w:t>The Ottoman Conquest of the Balkans</w:t>
      </w:r>
      <w:r w:rsidR="004230A6" w:rsidRPr="009E4779">
        <w:rPr>
          <w:i/>
        </w:rPr>
        <w:t>—Interpretations and Research Debates</w:t>
      </w:r>
      <w:r w:rsidRPr="009E4779">
        <w:t>, edited by O</w:t>
      </w:r>
      <w:r w:rsidR="004230A6" w:rsidRPr="009E4779">
        <w:t>liver J. Schmitt (Austrian Academy of Sciences, 2015), 167-188.</w:t>
      </w:r>
    </w:p>
    <w:p w14:paraId="6EAC49B8" w14:textId="77777777" w:rsidR="008160EE" w:rsidRPr="009E4779" w:rsidRDefault="008160EE" w:rsidP="008160EE">
      <w:pPr>
        <w:pStyle w:val="BodyText"/>
        <w:tabs>
          <w:tab w:val="left" w:pos="180"/>
        </w:tabs>
        <w:spacing w:before="240"/>
        <w:jc w:val="left"/>
        <w:rPr>
          <w:rFonts w:asciiTheme="minorHAnsi" w:hAnsiTheme="minorHAnsi"/>
          <w:b w:val="0"/>
        </w:rPr>
      </w:pPr>
      <w:proofErr w:type="gramStart"/>
      <w:r w:rsidRPr="009E4779">
        <w:rPr>
          <w:rFonts w:asciiTheme="minorHAnsi" w:hAnsiTheme="minorHAnsi"/>
          <w:b w:val="0"/>
        </w:rPr>
        <w:t xml:space="preserve">“Islam and Muslims in Early Modern Europe,” in </w:t>
      </w:r>
      <w:r w:rsidRPr="009E4779">
        <w:rPr>
          <w:rFonts w:asciiTheme="minorHAnsi" w:hAnsiTheme="minorHAnsi"/>
          <w:b w:val="0"/>
          <w:i/>
        </w:rPr>
        <w:t>Oxford Handbook of Early Modern European History</w:t>
      </w:r>
      <w:r w:rsidRPr="009E4779">
        <w:rPr>
          <w:rFonts w:asciiTheme="minorHAnsi" w:hAnsiTheme="minorHAnsi"/>
          <w:b w:val="0"/>
        </w:rPr>
        <w:t xml:space="preserve">, </w:t>
      </w:r>
      <w:r w:rsidRPr="009E4779">
        <w:rPr>
          <w:rFonts w:asciiTheme="minorHAnsi" w:hAnsiTheme="minorHAnsi"/>
          <w:b w:val="0"/>
          <w:i/>
        </w:rPr>
        <w:t>1350-1750</w:t>
      </w:r>
      <w:r w:rsidRPr="009E4779">
        <w:rPr>
          <w:rFonts w:asciiTheme="minorHAnsi" w:hAnsiTheme="minorHAnsi"/>
          <w:b w:val="0"/>
        </w:rPr>
        <w:t xml:space="preserve">, </w:t>
      </w:r>
      <w:r w:rsidRPr="009E4779">
        <w:rPr>
          <w:rFonts w:asciiTheme="minorHAnsi" w:hAnsiTheme="minorHAnsi"/>
          <w:b w:val="0"/>
          <w:i/>
        </w:rPr>
        <w:t>Vol.</w:t>
      </w:r>
      <w:proofErr w:type="gramEnd"/>
      <w:r w:rsidRPr="009E4779">
        <w:rPr>
          <w:rFonts w:asciiTheme="minorHAnsi" w:hAnsiTheme="minorHAnsi"/>
          <w:b w:val="0"/>
          <w:i/>
        </w:rPr>
        <w:t xml:space="preserve"> I: Peoples &amp; Places</w:t>
      </w:r>
      <w:r w:rsidRPr="009E4779">
        <w:rPr>
          <w:rFonts w:asciiTheme="minorHAnsi" w:hAnsiTheme="minorHAnsi"/>
          <w:b w:val="0"/>
        </w:rPr>
        <w:t>, edited by Hamish Scott (Oxford: Oxford U. Press, 2015), 670-693.</w:t>
      </w:r>
    </w:p>
    <w:p w14:paraId="62950ED4" w14:textId="77777777" w:rsidR="008160EE" w:rsidRPr="009E4779" w:rsidRDefault="008160EE" w:rsidP="008160EE">
      <w:pPr>
        <w:pStyle w:val="BodyText"/>
        <w:tabs>
          <w:tab w:val="left" w:pos="180"/>
        </w:tabs>
        <w:spacing w:before="240"/>
        <w:jc w:val="left"/>
        <w:rPr>
          <w:rFonts w:asciiTheme="minorHAnsi" w:hAnsiTheme="minorHAnsi"/>
          <w:b w:val="0"/>
        </w:rPr>
      </w:pPr>
      <w:r w:rsidRPr="009E4779">
        <w:rPr>
          <w:rFonts w:asciiTheme="minorHAnsi" w:hAnsiTheme="minorHAnsi"/>
          <w:b w:val="0"/>
        </w:rPr>
        <w:t xml:space="preserve">“Introduction” to the special issue on “Cross-Confessional Diplomacy and Diplomatic Intermediaries in the Early Modern Mediterranean” (with Maartje van Gelder), </w:t>
      </w:r>
      <w:r w:rsidRPr="009E4779">
        <w:rPr>
          <w:rFonts w:asciiTheme="minorHAnsi" w:hAnsiTheme="minorHAnsi"/>
          <w:b w:val="0"/>
          <w:i/>
        </w:rPr>
        <w:t>Journal of Early Modern History</w:t>
      </w:r>
      <w:r w:rsidRPr="009E4779">
        <w:rPr>
          <w:rFonts w:asciiTheme="minorHAnsi" w:hAnsiTheme="minorHAnsi"/>
          <w:b w:val="0"/>
        </w:rPr>
        <w:t xml:space="preserve"> 19 (2015): 93-105</w:t>
      </w:r>
    </w:p>
    <w:p w14:paraId="0B66C5F1" w14:textId="77777777" w:rsidR="008160EE" w:rsidRPr="009E4779" w:rsidRDefault="008160EE" w:rsidP="008160EE">
      <w:pPr>
        <w:pStyle w:val="BodyText"/>
        <w:tabs>
          <w:tab w:val="left" w:pos="180"/>
        </w:tabs>
        <w:spacing w:before="240"/>
        <w:jc w:val="both"/>
        <w:rPr>
          <w:rFonts w:asciiTheme="minorHAnsi" w:hAnsiTheme="minorHAnsi"/>
          <w:b w:val="0"/>
        </w:rPr>
      </w:pPr>
      <w:r w:rsidRPr="009E4779">
        <w:rPr>
          <w:rFonts w:asciiTheme="minorHAnsi" w:hAnsiTheme="minorHAnsi"/>
          <w:b w:val="0"/>
        </w:rPr>
        <w:t xml:space="preserve">“The Elusive Intermediaries: Moriscos in Ottoman and Western European Diplomatic Sources from Constantinople, 1570s-1630s,” </w:t>
      </w:r>
      <w:r w:rsidRPr="009E4779">
        <w:rPr>
          <w:rFonts w:asciiTheme="minorHAnsi" w:hAnsiTheme="minorHAnsi"/>
          <w:b w:val="0"/>
          <w:i/>
        </w:rPr>
        <w:t>Journal of Early Modern History</w:t>
      </w:r>
      <w:r w:rsidRPr="009E4779">
        <w:rPr>
          <w:rFonts w:asciiTheme="minorHAnsi" w:hAnsiTheme="minorHAnsi"/>
          <w:b w:val="0"/>
        </w:rPr>
        <w:t xml:space="preserve"> 19 (2015): 129-151 </w:t>
      </w:r>
    </w:p>
    <w:p w14:paraId="00C469C0" w14:textId="77777777" w:rsidR="008160EE" w:rsidRPr="009E4779" w:rsidRDefault="008160EE" w:rsidP="008160EE"/>
    <w:p w14:paraId="0A198AE6" w14:textId="77777777" w:rsidR="008160EE" w:rsidRPr="009E4779" w:rsidRDefault="008160EE" w:rsidP="008160EE">
      <w:pPr>
        <w:pStyle w:val="Default"/>
        <w:rPr>
          <w:rFonts w:asciiTheme="minorHAnsi" w:hAnsiTheme="minorHAnsi" w:cs="Times New Roman"/>
          <w:bCs/>
        </w:rPr>
      </w:pPr>
      <w:r w:rsidRPr="009E4779">
        <w:rPr>
          <w:rFonts w:asciiTheme="minorHAnsi" w:hAnsiTheme="minorHAnsi" w:cs="Times New Roman"/>
          <w:b/>
          <w:bCs/>
        </w:rPr>
        <w:t xml:space="preserve"> </w:t>
      </w:r>
      <w:r w:rsidRPr="009E4779">
        <w:rPr>
          <w:rFonts w:asciiTheme="minorHAnsi" w:hAnsiTheme="minorHAnsi" w:cs="Times New Roman"/>
          <w:bCs/>
        </w:rPr>
        <w:t xml:space="preserve">“Los Moriscos en Estambul.”  </w:t>
      </w:r>
      <w:proofErr w:type="gramStart"/>
      <w:r w:rsidRPr="009E4779">
        <w:rPr>
          <w:rFonts w:asciiTheme="minorHAnsi" w:hAnsiTheme="minorHAnsi" w:cs="Times New Roman"/>
          <w:bCs/>
        </w:rPr>
        <w:t xml:space="preserve">In </w:t>
      </w:r>
      <w:r w:rsidRPr="009E4779">
        <w:rPr>
          <w:rFonts w:asciiTheme="minorHAnsi" w:hAnsiTheme="minorHAnsi" w:cs="Times New Roman"/>
          <w:bCs/>
          <w:i/>
        </w:rPr>
        <w:t>Los Moriscos.</w:t>
      </w:r>
      <w:proofErr w:type="gramEnd"/>
      <w:r w:rsidRPr="009E4779">
        <w:rPr>
          <w:rFonts w:asciiTheme="minorHAnsi" w:hAnsiTheme="minorHAnsi" w:cs="Times New Roman"/>
          <w:bCs/>
          <w:i/>
        </w:rPr>
        <w:t xml:space="preserve"> La expulción y </w:t>
      </w:r>
      <w:proofErr w:type="gramStart"/>
      <w:r w:rsidRPr="009E4779">
        <w:rPr>
          <w:rFonts w:asciiTheme="minorHAnsi" w:hAnsiTheme="minorHAnsi" w:cs="Times New Roman"/>
          <w:bCs/>
          <w:i/>
        </w:rPr>
        <w:t>después</w:t>
      </w:r>
      <w:r w:rsidRPr="009E4779">
        <w:rPr>
          <w:rFonts w:asciiTheme="minorHAnsi" w:hAnsiTheme="minorHAnsi" w:cs="Times New Roman"/>
          <w:bCs/>
        </w:rPr>
        <w:t>,</w:t>
      </w:r>
      <w:proofErr w:type="gramEnd"/>
      <w:r w:rsidRPr="009E4779">
        <w:rPr>
          <w:rFonts w:asciiTheme="minorHAnsi" w:hAnsiTheme="minorHAnsi" w:cs="Times New Roman"/>
          <w:bCs/>
        </w:rPr>
        <w:t xml:space="preserve"> edited by Mercedes García-Arenal and Gerard Albert Wiegers. 257-273. Valencia: Servicio de Publicaciones de Valencia, 2013. </w:t>
      </w:r>
    </w:p>
    <w:p w14:paraId="10F24A1D" w14:textId="77777777" w:rsidR="008160EE" w:rsidRPr="009E4779" w:rsidRDefault="008160EE" w:rsidP="008160EE">
      <w:pPr>
        <w:pStyle w:val="Default"/>
        <w:rPr>
          <w:rFonts w:asciiTheme="minorHAnsi" w:hAnsiTheme="minorHAnsi" w:cs="Times New Roman"/>
          <w:bCs/>
        </w:rPr>
      </w:pPr>
    </w:p>
    <w:p w14:paraId="3A11EE20" w14:textId="77777777" w:rsidR="008160EE" w:rsidRPr="009E4779" w:rsidRDefault="008160EE" w:rsidP="008160EE">
      <w:pPr>
        <w:pStyle w:val="Default"/>
        <w:rPr>
          <w:rFonts w:asciiTheme="minorHAnsi" w:hAnsiTheme="minorHAnsi" w:cs="Times New Roman"/>
        </w:rPr>
      </w:pPr>
      <w:r w:rsidRPr="009E4779">
        <w:rPr>
          <w:rFonts w:asciiTheme="minorHAnsi" w:hAnsiTheme="minorHAnsi" w:cs="Times New Roman"/>
          <w:bCs/>
        </w:rPr>
        <w:t>(</w:t>
      </w:r>
      <w:proofErr w:type="gramStart"/>
      <w:r w:rsidRPr="009E4779">
        <w:rPr>
          <w:rFonts w:asciiTheme="minorHAnsi" w:hAnsiTheme="minorHAnsi" w:cs="Times New Roman"/>
          <w:bCs/>
        </w:rPr>
        <w:t>also</w:t>
      </w:r>
      <w:proofErr w:type="gramEnd"/>
      <w:r w:rsidRPr="009E4779">
        <w:rPr>
          <w:rFonts w:asciiTheme="minorHAnsi" w:hAnsiTheme="minorHAnsi" w:cs="Times New Roman"/>
          <w:bCs/>
        </w:rPr>
        <w:t xml:space="preserve"> appeared in English as </w:t>
      </w:r>
      <w:r w:rsidRPr="009E4779">
        <w:rPr>
          <w:rFonts w:asciiTheme="minorHAnsi" w:hAnsiTheme="minorHAnsi" w:cs="Times New Roman"/>
        </w:rPr>
        <w:t xml:space="preserve">“Moriscos in Ottoman Galata, 1609-1620s.” </w:t>
      </w:r>
      <w:proofErr w:type="gramStart"/>
      <w:r w:rsidRPr="009E4779">
        <w:rPr>
          <w:rFonts w:asciiTheme="minorHAnsi" w:hAnsiTheme="minorHAnsi" w:cs="Times New Roman"/>
        </w:rPr>
        <w:t xml:space="preserve">In </w:t>
      </w:r>
      <w:r w:rsidRPr="009E4779">
        <w:rPr>
          <w:rFonts w:asciiTheme="minorHAnsi" w:hAnsiTheme="minorHAnsi" w:cs="Times New Roman"/>
          <w:i/>
        </w:rPr>
        <w:t>Expulsion of the Moriscos from Spain</w:t>
      </w:r>
      <w:r w:rsidRPr="009E4779">
        <w:rPr>
          <w:rFonts w:asciiTheme="minorHAnsi" w:hAnsiTheme="minorHAnsi" w:cs="Times New Roman"/>
        </w:rPr>
        <w:t>.</w:t>
      </w:r>
      <w:proofErr w:type="gramEnd"/>
      <w:r w:rsidRPr="009E4779">
        <w:rPr>
          <w:rFonts w:asciiTheme="minorHAnsi" w:hAnsiTheme="minorHAnsi" w:cs="Times New Roman"/>
        </w:rPr>
        <w:t xml:space="preserve"> Edited by M. Garcia-Arenal and G. Wiegers. 269-285. Brill, 2014.)</w:t>
      </w:r>
    </w:p>
    <w:p w14:paraId="5CE90A91" w14:textId="77777777" w:rsidR="008160EE" w:rsidRPr="009E4779" w:rsidRDefault="008160EE" w:rsidP="008160EE"/>
    <w:p w14:paraId="73474306" w14:textId="77777777" w:rsidR="008160EE" w:rsidRPr="009E4779" w:rsidRDefault="008160EE" w:rsidP="008160EE">
      <w:r w:rsidRPr="009E4779">
        <w:t xml:space="preserve">“Contesting Subjecthood and Sovereignty in Ottoman Galata in the Age of Confessionalization: Moriscos and the </w:t>
      </w:r>
      <w:r w:rsidRPr="009E4779">
        <w:rPr>
          <w:i/>
        </w:rPr>
        <w:t xml:space="preserve">Carazo </w:t>
      </w:r>
      <w:r w:rsidRPr="009E4779">
        <w:t xml:space="preserve">Affair, 1613-1617,” </w:t>
      </w:r>
      <w:r w:rsidRPr="009E4779">
        <w:rPr>
          <w:rFonts w:eastAsia="Calibri" w:cs="Times"/>
          <w:i/>
          <w:color w:val="393838"/>
        </w:rPr>
        <w:t>Oriente Moderno</w:t>
      </w:r>
      <w:r w:rsidRPr="009E4779">
        <w:rPr>
          <w:rFonts w:eastAsia="Calibri" w:cs="Times"/>
          <w:color w:val="393838"/>
        </w:rPr>
        <w:t xml:space="preserve"> </w:t>
      </w:r>
      <w:r w:rsidRPr="009E4779">
        <w:rPr>
          <w:rFonts w:eastAsia="Calibri" w:cs="Times"/>
        </w:rPr>
        <w:t>93/2 (2013): 420-451</w:t>
      </w:r>
    </w:p>
    <w:p w14:paraId="0FE34208" w14:textId="77777777" w:rsidR="008160EE" w:rsidRPr="009E4779" w:rsidRDefault="008160EE" w:rsidP="008160EE"/>
    <w:p w14:paraId="1C68E255" w14:textId="77777777" w:rsidR="008160EE" w:rsidRPr="009E4779" w:rsidRDefault="008160EE" w:rsidP="008160EE">
      <w:pPr>
        <w:pStyle w:val="Heading1"/>
        <w:shd w:val="clear" w:color="auto" w:fill="FFFFFF"/>
        <w:rPr>
          <w:rFonts w:asciiTheme="minorHAnsi" w:hAnsiTheme="minorHAnsi"/>
          <w:b w:val="0"/>
          <w:bCs w:val="0"/>
        </w:rPr>
      </w:pPr>
      <w:r w:rsidRPr="009E4779">
        <w:rPr>
          <w:rFonts w:asciiTheme="minorHAnsi" w:hAnsiTheme="minorHAnsi"/>
          <w:b w:val="0"/>
          <w:bCs w:val="0"/>
        </w:rPr>
        <w:t xml:space="preserve">“Conversion and Converts to Islam in Ottoman Historiography of the Fifteenth and Sixteenth Centuries.”  In </w:t>
      </w:r>
      <w:r w:rsidRPr="009E4779">
        <w:rPr>
          <w:rFonts w:asciiTheme="minorHAnsi" w:hAnsiTheme="minorHAnsi"/>
          <w:b w:val="0"/>
          <w:bCs w:val="0"/>
          <w:i/>
          <w:color w:val="000000"/>
        </w:rPr>
        <w:t>Writing History at the Ottoman Court—</w:t>
      </w:r>
      <w:r w:rsidRPr="009E4779">
        <w:rPr>
          <w:rFonts w:asciiTheme="minorHAnsi" w:hAnsiTheme="minorHAnsi"/>
          <w:b w:val="0"/>
          <w:bCs w:val="0"/>
          <w:i/>
        </w:rPr>
        <w:t>Editing the Past, Fashioning the Future</w:t>
      </w:r>
      <w:r w:rsidRPr="009E4779">
        <w:rPr>
          <w:rFonts w:asciiTheme="minorHAnsi" w:hAnsiTheme="minorHAnsi"/>
          <w:b w:val="0"/>
          <w:bCs w:val="0"/>
        </w:rPr>
        <w:t xml:space="preserve">. Edited by E. Fetvacı and E. Çipa. 58-79. Indiana University Press, 2013 </w:t>
      </w:r>
    </w:p>
    <w:p w14:paraId="7EBF9DE8" w14:textId="77777777" w:rsidR="008160EE" w:rsidRPr="009E4779" w:rsidRDefault="008160EE" w:rsidP="008160EE">
      <w:pPr>
        <w:pStyle w:val="Heading1"/>
        <w:shd w:val="clear" w:color="auto" w:fill="FFFFFF"/>
        <w:rPr>
          <w:rFonts w:asciiTheme="minorHAnsi" w:hAnsiTheme="minorHAnsi"/>
          <w:b w:val="0"/>
          <w:bCs w:val="0"/>
        </w:rPr>
      </w:pPr>
    </w:p>
    <w:p w14:paraId="1819D4FB" w14:textId="77777777" w:rsidR="008160EE" w:rsidRPr="009E4779" w:rsidRDefault="008160EE" w:rsidP="008160EE">
      <w:pPr>
        <w:pStyle w:val="Heading1"/>
        <w:shd w:val="clear" w:color="auto" w:fill="FFFFFF"/>
        <w:rPr>
          <w:rFonts w:asciiTheme="minorHAnsi" w:hAnsiTheme="minorHAnsi"/>
          <w:b w:val="0"/>
          <w:bCs w:val="0"/>
        </w:rPr>
      </w:pPr>
      <w:r w:rsidRPr="009E4779">
        <w:rPr>
          <w:rFonts w:asciiTheme="minorHAnsi" w:hAnsiTheme="minorHAnsi"/>
          <w:b w:val="0"/>
          <w:bCs w:val="0"/>
        </w:rPr>
        <w:t>(</w:t>
      </w:r>
      <w:proofErr w:type="gramStart"/>
      <w:r w:rsidRPr="009E4779">
        <w:rPr>
          <w:rFonts w:asciiTheme="minorHAnsi" w:hAnsiTheme="minorHAnsi"/>
          <w:b w:val="0"/>
          <w:bCs w:val="0"/>
        </w:rPr>
        <w:t>also</w:t>
      </w:r>
      <w:proofErr w:type="gramEnd"/>
      <w:r w:rsidRPr="009E4779">
        <w:rPr>
          <w:rFonts w:asciiTheme="minorHAnsi" w:hAnsiTheme="minorHAnsi"/>
          <w:b w:val="0"/>
          <w:bCs w:val="0"/>
        </w:rPr>
        <w:t xml:space="preserve"> appeared in Turkish as: “On beş ve on alt</w:t>
      </w:r>
      <w:r w:rsidRPr="009E4779">
        <w:rPr>
          <w:rFonts w:asciiTheme="minorHAnsi" w:eastAsia="Calibri" w:hAnsiTheme="minorHAnsi"/>
          <w:b w:val="0"/>
          <w:bCs w:val="0"/>
        </w:rPr>
        <w:t>ı</w:t>
      </w:r>
      <w:r w:rsidRPr="009E4779">
        <w:rPr>
          <w:rFonts w:asciiTheme="minorHAnsi" w:hAnsiTheme="minorHAnsi"/>
          <w:b w:val="0"/>
          <w:bCs w:val="0"/>
        </w:rPr>
        <w:t>nc</w:t>
      </w:r>
      <w:r w:rsidRPr="009E4779">
        <w:rPr>
          <w:rFonts w:asciiTheme="minorHAnsi" w:eastAsia="Calibri" w:hAnsiTheme="minorHAnsi"/>
          <w:b w:val="0"/>
          <w:bCs w:val="0"/>
        </w:rPr>
        <w:t>ı</w:t>
      </w:r>
      <w:r w:rsidRPr="009E4779">
        <w:rPr>
          <w:rFonts w:asciiTheme="minorHAnsi" w:hAnsiTheme="minorHAnsi"/>
          <w:b w:val="0"/>
          <w:bCs w:val="0"/>
        </w:rPr>
        <w:t xml:space="preserve"> yüzy</w:t>
      </w:r>
      <w:r w:rsidRPr="009E4779">
        <w:rPr>
          <w:rFonts w:asciiTheme="minorHAnsi" w:eastAsia="Calibri" w:hAnsiTheme="minorHAnsi"/>
          <w:b w:val="0"/>
          <w:bCs w:val="0"/>
        </w:rPr>
        <w:t>ı</w:t>
      </w:r>
      <w:r w:rsidRPr="009E4779">
        <w:rPr>
          <w:rFonts w:asciiTheme="minorHAnsi" w:hAnsiTheme="minorHAnsi"/>
          <w:b w:val="0"/>
          <w:bCs w:val="0"/>
        </w:rPr>
        <w:t>llar Osmanl</w:t>
      </w:r>
      <w:r w:rsidRPr="009E4779">
        <w:rPr>
          <w:rFonts w:asciiTheme="minorHAnsi" w:eastAsia="Calibri" w:hAnsiTheme="minorHAnsi"/>
          <w:b w:val="0"/>
          <w:bCs w:val="0"/>
        </w:rPr>
        <w:t>ı</w:t>
      </w:r>
      <w:r w:rsidRPr="009E4779">
        <w:rPr>
          <w:rFonts w:asciiTheme="minorHAnsi" w:hAnsiTheme="minorHAnsi"/>
          <w:b w:val="0"/>
          <w:bCs w:val="0"/>
        </w:rPr>
        <w:t xml:space="preserve"> tarihyaz</w:t>
      </w:r>
      <w:r w:rsidRPr="009E4779">
        <w:rPr>
          <w:rFonts w:asciiTheme="minorHAnsi" w:eastAsia="Calibri" w:hAnsiTheme="minorHAnsi"/>
          <w:b w:val="0"/>
          <w:bCs w:val="0"/>
        </w:rPr>
        <w:t>ı</w:t>
      </w:r>
      <w:r w:rsidRPr="009E4779">
        <w:rPr>
          <w:rFonts w:asciiTheme="minorHAnsi" w:hAnsiTheme="minorHAnsi"/>
          <w:b w:val="0"/>
          <w:bCs w:val="0"/>
        </w:rPr>
        <w:t>m</w:t>
      </w:r>
      <w:r w:rsidRPr="009E4779">
        <w:rPr>
          <w:rFonts w:asciiTheme="minorHAnsi" w:eastAsia="Calibri" w:hAnsiTheme="minorHAnsi"/>
          <w:b w:val="0"/>
          <w:bCs w:val="0"/>
        </w:rPr>
        <w:t>ı</w:t>
      </w:r>
      <w:r w:rsidRPr="009E4779">
        <w:rPr>
          <w:rFonts w:asciiTheme="minorHAnsi" w:hAnsiTheme="minorHAnsi"/>
          <w:b w:val="0"/>
          <w:bCs w:val="0"/>
        </w:rPr>
        <w:t>nda islama dönme (</w:t>
      </w:r>
      <w:r w:rsidRPr="009E4779">
        <w:rPr>
          <w:rFonts w:asciiTheme="minorHAnsi" w:hAnsiTheme="minorHAnsi"/>
          <w:b w:val="0"/>
          <w:bCs w:val="0"/>
          <w:i/>
        </w:rPr>
        <w:t>ihtida</w:t>
      </w:r>
      <w:r w:rsidRPr="009E4779">
        <w:rPr>
          <w:rFonts w:asciiTheme="minorHAnsi" w:hAnsiTheme="minorHAnsi"/>
          <w:b w:val="0"/>
          <w:bCs w:val="0"/>
        </w:rPr>
        <w:t>) ve dönmeler (</w:t>
      </w:r>
      <w:r w:rsidRPr="009E4779">
        <w:rPr>
          <w:rFonts w:asciiTheme="minorHAnsi" w:hAnsiTheme="minorHAnsi"/>
          <w:b w:val="0"/>
          <w:bCs w:val="0"/>
          <w:i/>
        </w:rPr>
        <w:t>mühtediler</w:t>
      </w:r>
      <w:r w:rsidRPr="009E4779">
        <w:rPr>
          <w:rFonts w:asciiTheme="minorHAnsi" w:hAnsiTheme="minorHAnsi"/>
          <w:b w:val="0"/>
          <w:bCs w:val="0"/>
        </w:rPr>
        <w:t>),” E. Ç</w:t>
      </w:r>
      <w:r w:rsidRPr="009E4779">
        <w:rPr>
          <w:rFonts w:asciiTheme="minorHAnsi" w:eastAsia="Calibri" w:hAnsiTheme="minorHAnsi"/>
          <w:b w:val="0"/>
          <w:bCs w:val="0"/>
        </w:rPr>
        <w:t>i</w:t>
      </w:r>
      <w:r w:rsidRPr="009E4779">
        <w:rPr>
          <w:rFonts w:asciiTheme="minorHAnsi" w:hAnsiTheme="minorHAnsi"/>
          <w:b w:val="0"/>
          <w:bCs w:val="0"/>
        </w:rPr>
        <w:t>pa ve E. Fetvac</w:t>
      </w:r>
      <w:r w:rsidRPr="009E4779">
        <w:rPr>
          <w:rFonts w:asciiTheme="minorHAnsi" w:eastAsia="Calibri" w:hAnsiTheme="minorHAnsi"/>
          <w:b w:val="0"/>
          <w:bCs w:val="0"/>
        </w:rPr>
        <w:t>ı</w:t>
      </w:r>
      <w:r w:rsidRPr="009E4779">
        <w:rPr>
          <w:rFonts w:asciiTheme="minorHAnsi" w:hAnsiTheme="minorHAnsi"/>
          <w:b w:val="0"/>
          <w:bCs w:val="0"/>
        </w:rPr>
        <w:t xml:space="preserve">, haz., </w:t>
      </w:r>
      <w:r w:rsidRPr="009E4779">
        <w:rPr>
          <w:rFonts w:asciiTheme="minorHAnsi" w:eastAsia="Calibri" w:hAnsiTheme="minorHAnsi"/>
          <w:b w:val="0"/>
          <w:bCs w:val="0"/>
          <w:i/>
        </w:rPr>
        <w:t>Osmanlı Sarayında Tarih Yazımı</w:t>
      </w:r>
      <w:r w:rsidRPr="009E4779">
        <w:rPr>
          <w:rFonts w:asciiTheme="minorHAnsi" w:hAnsiTheme="minorHAnsi"/>
          <w:b w:val="0"/>
          <w:bCs w:val="0"/>
        </w:rPr>
        <w:t xml:space="preserve"> (Tarih Vakf</w:t>
      </w:r>
      <w:r w:rsidRPr="009E4779">
        <w:rPr>
          <w:rFonts w:asciiTheme="minorHAnsi" w:eastAsia="Calibri" w:hAnsiTheme="minorHAnsi"/>
          <w:b w:val="0"/>
          <w:bCs w:val="0"/>
        </w:rPr>
        <w:t>ı</w:t>
      </w:r>
      <w:r w:rsidRPr="009E4779">
        <w:rPr>
          <w:rFonts w:asciiTheme="minorHAnsi" w:hAnsiTheme="minorHAnsi"/>
          <w:b w:val="0"/>
          <w:bCs w:val="0"/>
        </w:rPr>
        <w:t xml:space="preserve"> Yurt Yay</w:t>
      </w:r>
      <w:r w:rsidRPr="009E4779">
        <w:rPr>
          <w:rFonts w:asciiTheme="minorHAnsi" w:eastAsia="Calibri" w:hAnsiTheme="minorHAnsi"/>
          <w:b w:val="0"/>
          <w:bCs w:val="0"/>
        </w:rPr>
        <w:t>ı</w:t>
      </w:r>
      <w:r w:rsidRPr="009E4779">
        <w:rPr>
          <w:rFonts w:asciiTheme="minorHAnsi" w:hAnsiTheme="minorHAnsi"/>
          <w:b w:val="0"/>
          <w:bCs w:val="0"/>
        </w:rPr>
        <w:t>nlar</w:t>
      </w:r>
      <w:r w:rsidRPr="009E4779">
        <w:rPr>
          <w:rFonts w:asciiTheme="minorHAnsi" w:eastAsia="Calibri" w:hAnsiTheme="minorHAnsi"/>
          <w:b w:val="0"/>
          <w:bCs w:val="0"/>
        </w:rPr>
        <w:t>ı</w:t>
      </w:r>
      <w:r w:rsidRPr="009E4779">
        <w:rPr>
          <w:rFonts w:asciiTheme="minorHAnsi" w:hAnsiTheme="minorHAnsi"/>
          <w:b w:val="0"/>
          <w:bCs w:val="0"/>
        </w:rPr>
        <w:t>, 2014), 69-95.)</w:t>
      </w:r>
    </w:p>
    <w:p w14:paraId="320C52DD" w14:textId="77777777" w:rsidR="008160EE" w:rsidRPr="009E4779" w:rsidRDefault="008160EE" w:rsidP="008160EE">
      <w:pPr>
        <w:pStyle w:val="FootnoteText"/>
        <w:rPr>
          <w:rFonts w:asciiTheme="minorHAnsi" w:hAnsiTheme="minorHAnsi"/>
          <w:b/>
          <w:bCs/>
          <w:sz w:val="24"/>
          <w:szCs w:val="24"/>
        </w:rPr>
      </w:pPr>
    </w:p>
    <w:p w14:paraId="1DD3AC2C" w14:textId="77777777" w:rsidR="008160EE" w:rsidRPr="009E4779" w:rsidRDefault="008160EE" w:rsidP="008160EE">
      <w:pPr>
        <w:pStyle w:val="FootnoteText"/>
        <w:rPr>
          <w:rFonts w:asciiTheme="minorHAnsi" w:hAnsiTheme="minorHAnsi"/>
          <w:sz w:val="24"/>
          <w:szCs w:val="24"/>
        </w:rPr>
      </w:pPr>
      <w:r w:rsidRPr="009E4779">
        <w:rPr>
          <w:rFonts w:asciiTheme="minorHAnsi" w:hAnsiTheme="minorHAnsi"/>
          <w:bCs/>
          <w:sz w:val="24"/>
          <w:szCs w:val="24"/>
        </w:rPr>
        <w:t>“The Ambiguous Politics of “Ambiguous Sanctuaries”: F. Hasluck and Historiography on Syncretism and Conversion to Islam in 15</w:t>
      </w:r>
      <w:r w:rsidRPr="009E4779">
        <w:rPr>
          <w:rFonts w:asciiTheme="minorHAnsi" w:hAnsiTheme="minorHAnsi"/>
          <w:bCs/>
          <w:sz w:val="24"/>
          <w:szCs w:val="24"/>
          <w:vertAlign w:val="superscript"/>
        </w:rPr>
        <w:t xml:space="preserve">th </w:t>
      </w:r>
      <w:r w:rsidRPr="009E4779">
        <w:rPr>
          <w:rFonts w:asciiTheme="minorHAnsi" w:hAnsiTheme="minorHAnsi"/>
          <w:bCs/>
          <w:sz w:val="24"/>
          <w:szCs w:val="24"/>
        </w:rPr>
        <w:t>- and 16</w:t>
      </w:r>
      <w:r w:rsidRPr="009E4779">
        <w:rPr>
          <w:rFonts w:asciiTheme="minorHAnsi" w:hAnsiTheme="minorHAnsi"/>
          <w:bCs/>
          <w:sz w:val="24"/>
          <w:szCs w:val="24"/>
          <w:vertAlign w:val="superscript"/>
        </w:rPr>
        <w:t>th</w:t>
      </w:r>
      <w:r w:rsidRPr="009E4779">
        <w:rPr>
          <w:rFonts w:asciiTheme="minorHAnsi" w:hAnsiTheme="minorHAnsi"/>
          <w:bCs/>
          <w:sz w:val="24"/>
          <w:szCs w:val="24"/>
        </w:rPr>
        <w:t>-century Ottoman Rumeli” in</w:t>
      </w:r>
      <w:r w:rsidRPr="009E4779">
        <w:rPr>
          <w:rFonts w:asciiTheme="minorHAnsi" w:hAnsiTheme="minorHAnsi"/>
          <w:sz w:val="24"/>
          <w:szCs w:val="24"/>
        </w:rPr>
        <w:t xml:space="preserve"> </w:t>
      </w:r>
      <w:r w:rsidRPr="009E4779">
        <w:rPr>
          <w:rFonts w:asciiTheme="minorHAnsi" w:hAnsiTheme="minorHAnsi"/>
          <w:i/>
          <w:iCs/>
          <w:sz w:val="24"/>
          <w:szCs w:val="24"/>
        </w:rPr>
        <w:t xml:space="preserve">Archaeology, Anthropology and Heritage in the Balkans and Anatolia: </w:t>
      </w:r>
      <w:r w:rsidRPr="009E4779">
        <w:rPr>
          <w:rFonts w:asciiTheme="minorHAnsi" w:hAnsiTheme="minorHAnsi"/>
          <w:sz w:val="24"/>
          <w:szCs w:val="24"/>
        </w:rPr>
        <w:t xml:space="preserve"> </w:t>
      </w:r>
      <w:r w:rsidRPr="009E4779">
        <w:rPr>
          <w:rFonts w:asciiTheme="minorHAnsi" w:hAnsiTheme="minorHAnsi"/>
          <w:i/>
          <w:iCs/>
          <w:sz w:val="24"/>
          <w:szCs w:val="24"/>
        </w:rPr>
        <w:t>The Life and Times of F. W. Hasluck</w:t>
      </w:r>
      <w:r w:rsidRPr="009E4779">
        <w:rPr>
          <w:rFonts w:asciiTheme="minorHAnsi" w:hAnsiTheme="minorHAnsi"/>
          <w:sz w:val="24"/>
          <w:szCs w:val="24"/>
        </w:rPr>
        <w:t xml:space="preserve">, edited by D. Shankland, Vol. 3. 245-262. Isis Press: Istanbul, 2013. </w:t>
      </w:r>
    </w:p>
    <w:p w14:paraId="5C80DD30" w14:textId="77777777" w:rsidR="008160EE" w:rsidRPr="009E4779" w:rsidRDefault="008160EE" w:rsidP="008160EE">
      <w:pPr>
        <w:pStyle w:val="BodyText"/>
        <w:tabs>
          <w:tab w:val="left" w:pos="180"/>
        </w:tabs>
        <w:spacing w:before="240"/>
        <w:jc w:val="left"/>
        <w:rPr>
          <w:rFonts w:asciiTheme="minorHAnsi" w:hAnsiTheme="minorHAnsi"/>
          <w:b w:val="0"/>
          <w:bCs w:val="0"/>
        </w:rPr>
      </w:pPr>
      <w:r w:rsidRPr="009E4779">
        <w:rPr>
          <w:rFonts w:asciiTheme="minorHAnsi" w:hAnsiTheme="minorHAnsi"/>
          <w:b w:val="0"/>
          <w:bCs w:val="0"/>
        </w:rPr>
        <w:t xml:space="preserve">"Of Translation and Empire: Sixteenth-Century Ottoman Imperial Interpreters (Dragomans) as Renaissance Go-Betweens."  In </w:t>
      </w:r>
      <w:r w:rsidRPr="009E4779">
        <w:rPr>
          <w:rFonts w:asciiTheme="minorHAnsi" w:hAnsiTheme="minorHAnsi"/>
          <w:b w:val="0"/>
          <w:bCs w:val="0"/>
          <w:i/>
          <w:iCs/>
        </w:rPr>
        <w:t>The Ottoman World,</w:t>
      </w:r>
      <w:r w:rsidRPr="009E4779">
        <w:rPr>
          <w:rFonts w:asciiTheme="minorHAnsi" w:hAnsiTheme="minorHAnsi"/>
          <w:b w:val="0"/>
          <w:bCs w:val="0"/>
        </w:rPr>
        <w:t xml:space="preserve"> edited by Christine Woodhead. 130-142. New York: Routledge, 2011. </w:t>
      </w:r>
    </w:p>
    <w:p w14:paraId="56B26609" w14:textId="77777777" w:rsidR="008160EE" w:rsidRPr="009E4779" w:rsidRDefault="008160EE" w:rsidP="008160EE">
      <w:pPr>
        <w:pStyle w:val="BodyText"/>
        <w:tabs>
          <w:tab w:val="left" w:pos="180"/>
        </w:tabs>
        <w:spacing w:before="240"/>
        <w:jc w:val="left"/>
        <w:rPr>
          <w:rFonts w:asciiTheme="minorHAnsi" w:hAnsiTheme="minorHAnsi"/>
          <w:b w:val="0"/>
          <w:bCs w:val="0"/>
        </w:rPr>
      </w:pPr>
      <w:r w:rsidRPr="009E4779">
        <w:rPr>
          <w:rFonts w:asciiTheme="minorHAnsi" w:hAnsiTheme="minorHAnsi"/>
          <w:b w:val="0"/>
          <w:bCs w:val="0"/>
        </w:rPr>
        <w:t xml:space="preserve"> “Illuminated by the Light of Islam and the Glory of the Ottoman Sultanate: Narratives of Conversion to Islam in the Age of Confessionalization.”  </w:t>
      </w:r>
      <w:r w:rsidRPr="009E4779">
        <w:rPr>
          <w:rFonts w:asciiTheme="minorHAnsi" w:hAnsiTheme="minorHAnsi"/>
          <w:b w:val="0"/>
          <w:bCs w:val="0"/>
          <w:i/>
          <w:iCs/>
        </w:rPr>
        <w:t>Comparative Studies in Society and History</w:t>
      </w:r>
      <w:r w:rsidRPr="009E4779">
        <w:rPr>
          <w:rFonts w:asciiTheme="minorHAnsi" w:hAnsiTheme="minorHAnsi"/>
          <w:b w:val="0"/>
          <w:bCs w:val="0"/>
        </w:rPr>
        <w:t xml:space="preserve"> 51/1 (January 2009): 35-63</w:t>
      </w:r>
    </w:p>
    <w:p w14:paraId="15013AD1" w14:textId="77777777" w:rsidR="008160EE" w:rsidRPr="009E4779" w:rsidRDefault="008160EE" w:rsidP="008160EE">
      <w:pPr>
        <w:pStyle w:val="BodyText"/>
        <w:tabs>
          <w:tab w:val="left" w:pos="180"/>
        </w:tabs>
        <w:spacing w:before="240"/>
        <w:jc w:val="left"/>
        <w:rPr>
          <w:rFonts w:asciiTheme="minorHAnsi" w:hAnsiTheme="minorHAnsi"/>
          <w:b w:val="0"/>
          <w:bCs w:val="0"/>
        </w:rPr>
      </w:pPr>
      <w:r w:rsidRPr="009E4779">
        <w:rPr>
          <w:rFonts w:asciiTheme="minorHAnsi" w:hAnsiTheme="minorHAnsi"/>
          <w:b w:val="0"/>
          <w:bCs w:val="0"/>
          <w:u w:val="single"/>
        </w:rPr>
        <w:t>Book Reviews</w:t>
      </w:r>
      <w:r w:rsidRPr="009E4779">
        <w:rPr>
          <w:rFonts w:asciiTheme="minorHAnsi" w:hAnsiTheme="minorHAnsi"/>
          <w:b w:val="0"/>
          <w:bCs w:val="0"/>
        </w:rPr>
        <w:t>:</w:t>
      </w:r>
    </w:p>
    <w:p w14:paraId="6B3A2BB4" w14:textId="77777777" w:rsidR="008160EE" w:rsidRPr="009E4779" w:rsidRDefault="008160EE" w:rsidP="008160EE">
      <w:pPr>
        <w:rPr>
          <w:b/>
          <w:bCs/>
        </w:rPr>
      </w:pPr>
    </w:p>
    <w:p w14:paraId="31AB990B" w14:textId="77777777" w:rsidR="008160EE" w:rsidRPr="009E4779" w:rsidRDefault="008160EE" w:rsidP="008160EE">
      <w:r w:rsidRPr="009E4779">
        <w:rPr>
          <w:bCs/>
        </w:rPr>
        <w:t>Review of</w:t>
      </w:r>
      <w:r w:rsidRPr="009E4779">
        <w:rPr>
          <w:b/>
          <w:bCs/>
        </w:rPr>
        <w:t xml:space="preserve"> </w:t>
      </w:r>
      <w:r w:rsidRPr="009E4779">
        <w:t>Gilles Grivaud and Alexandre Popovic, eds</w:t>
      </w:r>
      <w:proofErr w:type="gramStart"/>
      <w:r w:rsidRPr="009E4779">
        <w:t>.,</w:t>
      </w:r>
      <w:proofErr w:type="gramEnd"/>
      <w:r w:rsidRPr="009E4779">
        <w:t xml:space="preserve"> </w:t>
      </w:r>
      <w:r w:rsidRPr="009E4779">
        <w:rPr>
          <w:i/>
        </w:rPr>
        <w:t xml:space="preserve"> Les conversions à l’islam en Asie Mineure et dans les Balkans aux époques seldjoukide et ottoman—Bibliographie raisonnée (1800-2000)</w:t>
      </w:r>
      <w:r w:rsidRPr="009E4779">
        <w:t xml:space="preserve"> (Athènes, 2011). </w:t>
      </w:r>
      <w:r w:rsidRPr="009E4779">
        <w:rPr>
          <w:i/>
        </w:rPr>
        <w:t>Turcica</w:t>
      </w:r>
      <w:r w:rsidRPr="009E4779">
        <w:t xml:space="preserve"> 44 (2013): 430-32.</w:t>
      </w:r>
    </w:p>
    <w:p w14:paraId="1F1B1031" w14:textId="77777777" w:rsidR="008160EE" w:rsidRPr="009E4779" w:rsidRDefault="008160EE" w:rsidP="008160EE"/>
    <w:p w14:paraId="6C48EF6E" w14:textId="77777777" w:rsidR="008160EE" w:rsidRPr="009E4779" w:rsidRDefault="008160EE" w:rsidP="008160EE">
      <w:pPr>
        <w:rPr>
          <w:bCs/>
          <w:iCs/>
        </w:rPr>
      </w:pPr>
      <w:proofErr w:type="gramStart"/>
      <w:r w:rsidRPr="009E4779">
        <w:rPr>
          <w:bCs/>
        </w:rPr>
        <w:t xml:space="preserve">Review of Anton Minkov’s </w:t>
      </w:r>
      <w:r w:rsidRPr="009E4779">
        <w:rPr>
          <w:bCs/>
          <w:i/>
        </w:rPr>
        <w:t>Conversions to Islam in the Balkans</w:t>
      </w:r>
      <w:r w:rsidRPr="009E4779">
        <w:rPr>
          <w:bCs/>
        </w:rPr>
        <w:t xml:space="preserve"> (Leiden: Brill, 2004).</w:t>
      </w:r>
      <w:proofErr w:type="gramEnd"/>
      <w:r w:rsidRPr="009E4779">
        <w:rPr>
          <w:bCs/>
        </w:rPr>
        <w:t xml:space="preserve"> </w:t>
      </w:r>
      <w:r w:rsidRPr="009E4779">
        <w:rPr>
          <w:bCs/>
          <w:i/>
        </w:rPr>
        <w:t>Journal of the Economic and Social History of the Orient</w:t>
      </w:r>
      <w:r w:rsidRPr="009E4779">
        <w:rPr>
          <w:bCs/>
          <w:iCs/>
        </w:rPr>
        <w:t xml:space="preserve"> 50/1 (2007): 88-90.</w:t>
      </w:r>
    </w:p>
    <w:p w14:paraId="451641AD" w14:textId="77777777" w:rsidR="008160EE" w:rsidRPr="009E4779" w:rsidRDefault="008160EE" w:rsidP="008160EE">
      <w:pPr>
        <w:pStyle w:val="BodyText"/>
        <w:tabs>
          <w:tab w:val="left" w:pos="180"/>
        </w:tabs>
        <w:spacing w:before="240"/>
        <w:jc w:val="left"/>
        <w:rPr>
          <w:rFonts w:asciiTheme="minorHAnsi" w:hAnsiTheme="minorHAnsi"/>
          <w:b w:val="0"/>
          <w:bCs w:val="0"/>
          <w:iCs/>
        </w:rPr>
      </w:pPr>
      <w:r w:rsidRPr="009E4779">
        <w:rPr>
          <w:rFonts w:asciiTheme="minorHAnsi" w:hAnsiTheme="minorHAnsi"/>
          <w:b w:val="0"/>
          <w:bCs w:val="0"/>
          <w:iCs/>
        </w:rPr>
        <w:t xml:space="preserve">Review of Adnan A Husain and K. E. Fleming, </w:t>
      </w:r>
      <w:proofErr w:type="gramStart"/>
      <w:r w:rsidRPr="009E4779">
        <w:rPr>
          <w:rFonts w:asciiTheme="minorHAnsi" w:hAnsiTheme="minorHAnsi"/>
          <w:b w:val="0"/>
          <w:bCs w:val="0"/>
          <w:iCs/>
        </w:rPr>
        <w:t>eds</w:t>
      </w:r>
      <w:proofErr w:type="gramEnd"/>
      <w:r w:rsidRPr="009E4779">
        <w:rPr>
          <w:rFonts w:asciiTheme="minorHAnsi" w:hAnsiTheme="minorHAnsi"/>
          <w:b w:val="0"/>
          <w:bCs w:val="0"/>
          <w:iCs/>
        </w:rPr>
        <w:t xml:space="preserve">. </w:t>
      </w:r>
      <w:r w:rsidRPr="009E4779">
        <w:rPr>
          <w:rFonts w:asciiTheme="minorHAnsi" w:hAnsiTheme="minorHAnsi"/>
          <w:b w:val="0"/>
          <w:bCs w:val="0"/>
          <w:i/>
        </w:rPr>
        <w:t>A Faithful Sea—The Religious Cultures of the Mediterranean, 1200-1700</w:t>
      </w:r>
      <w:r w:rsidRPr="009E4779">
        <w:rPr>
          <w:rFonts w:asciiTheme="minorHAnsi" w:hAnsiTheme="minorHAnsi"/>
          <w:b w:val="0"/>
          <w:bCs w:val="0"/>
          <w:iCs/>
        </w:rPr>
        <w:t xml:space="preserve">.  </w:t>
      </w:r>
      <w:r w:rsidRPr="009E4779">
        <w:rPr>
          <w:rFonts w:asciiTheme="minorHAnsi" w:hAnsiTheme="minorHAnsi"/>
          <w:b w:val="0"/>
          <w:bCs w:val="0"/>
          <w:i/>
        </w:rPr>
        <w:t>International Journal of Middle Eastern Studies</w:t>
      </w:r>
      <w:r w:rsidRPr="009E4779">
        <w:rPr>
          <w:rFonts w:asciiTheme="minorHAnsi" w:hAnsiTheme="minorHAnsi"/>
          <w:b w:val="0"/>
          <w:bCs w:val="0"/>
          <w:iCs/>
        </w:rPr>
        <w:t xml:space="preserve"> 41:4 (2009): 681-2.</w:t>
      </w:r>
    </w:p>
    <w:p w14:paraId="01E2674A" w14:textId="77777777" w:rsidR="008160EE" w:rsidRPr="009E4779" w:rsidRDefault="008160EE" w:rsidP="008160EE">
      <w:pPr>
        <w:pStyle w:val="BodyText"/>
        <w:tabs>
          <w:tab w:val="left" w:pos="180"/>
        </w:tabs>
        <w:spacing w:before="240"/>
        <w:jc w:val="left"/>
        <w:rPr>
          <w:rFonts w:asciiTheme="minorHAnsi" w:hAnsiTheme="minorHAnsi"/>
          <w:b w:val="0"/>
          <w:bCs w:val="0"/>
        </w:rPr>
      </w:pPr>
      <w:r w:rsidRPr="009E4779">
        <w:rPr>
          <w:rFonts w:asciiTheme="minorHAnsi" w:hAnsiTheme="minorHAnsi"/>
          <w:b w:val="0"/>
          <w:bCs w:val="0"/>
          <w:u w:val="single"/>
        </w:rPr>
        <w:t>Encyclopedia Articles</w:t>
      </w:r>
      <w:r w:rsidRPr="009E4779">
        <w:rPr>
          <w:rFonts w:asciiTheme="minorHAnsi" w:hAnsiTheme="minorHAnsi"/>
          <w:b w:val="0"/>
          <w:bCs w:val="0"/>
        </w:rPr>
        <w:t>:</w:t>
      </w:r>
    </w:p>
    <w:p w14:paraId="65A12266" w14:textId="77777777" w:rsidR="008160EE" w:rsidRPr="009E4779" w:rsidRDefault="008160EE" w:rsidP="008160EE">
      <w:pPr>
        <w:pStyle w:val="BodyText"/>
        <w:tabs>
          <w:tab w:val="left" w:pos="180"/>
        </w:tabs>
        <w:spacing w:before="240"/>
        <w:jc w:val="left"/>
        <w:rPr>
          <w:rFonts w:asciiTheme="minorHAnsi" w:hAnsiTheme="minorHAnsi"/>
          <w:b w:val="0"/>
          <w:bCs w:val="0"/>
          <w:color w:val="FF0000"/>
        </w:rPr>
      </w:pPr>
      <w:r w:rsidRPr="009E4779">
        <w:rPr>
          <w:rFonts w:asciiTheme="minorHAnsi" w:hAnsiTheme="minorHAnsi"/>
          <w:b w:val="0"/>
          <w:bCs w:val="0"/>
        </w:rPr>
        <w:t xml:space="preserve">“Religious Practices: Women’s Conversion to Islam in the Ottoman Empire” in Suad Joseph, ed., </w:t>
      </w:r>
      <w:r w:rsidRPr="009E4779">
        <w:rPr>
          <w:rFonts w:asciiTheme="minorHAnsi" w:hAnsiTheme="minorHAnsi"/>
          <w:b w:val="0"/>
          <w:bCs w:val="0"/>
          <w:i/>
        </w:rPr>
        <w:t xml:space="preserve">Encyclopedia of Women and Islamic Cultures, </w:t>
      </w:r>
      <w:r w:rsidRPr="009E4779">
        <w:rPr>
          <w:rFonts w:asciiTheme="minorHAnsi" w:hAnsiTheme="minorHAnsi"/>
          <w:b w:val="0"/>
          <w:bCs w:val="0"/>
          <w:iCs/>
        </w:rPr>
        <w:t xml:space="preserve">Vol. V (Leiden, Boston: Brill, 2007), 296-7. </w:t>
      </w:r>
    </w:p>
    <w:p w14:paraId="71B19CD0" w14:textId="77777777" w:rsidR="008160EE" w:rsidRPr="009E4779" w:rsidRDefault="008160EE" w:rsidP="008160EE">
      <w:pPr>
        <w:pStyle w:val="BodyText"/>
        <w:tabs>
          <w:tab w:val="left" w:pos="180"/>
        </w:tabs>
        <w:spacing w:before="240"/>
        <w:jc w:val="left"/>
        <w:rPr>
          <w:rFonts w:asciiTheme="minorHAnsi" w:hAnsiTheme="minorHAnsi"/>
          <w:b w:val="0"/>
        </w:rPr>
      </w:pPr>
      <w:r w:rsidRPr="009E4779">
        <w:rPr>
          <w:rFonts w:asciiTheme="minorHAnsi" w:hAnsiTheme="minorHAnsi"/>
          <w:b w:val="0"/>
        </w:rPr>
        <w:t xml:space="preserve">“Neomartyrs.” Gabor Agoston and Bruce Masters, </w:t>
      </w:r>
      <w:proofErr w:type="gramStart"/>
      <w:r w:rsidRPr="009E4779">
        <w:rPr>
          <w:rFonts w:asciiTheme="minorHAnsi" w:hAnsiTheme="minorHAnsi"/>
          <w:b w:val="0"/>
        </w:rPr>
        <w:t>eds</w:t>
      </w:r>
      <w:proofErr w:type="gramEnd"/>
      <w:r w:rsidRPr="009E4779">
        <w:rPr>
          <w:rFonts w:asciiTheme="minorHAnsi" w:hAnsiTheme="minorHAnsi"/>
          <w:b w:val="0"/>
        </w:rPr>
        <w:t xml:space="preserve">. </w:t>
      </w:r>
      <w:proofErr w:type="gramStart"/>
      <w:r w:rsidRPr="009E4779">
        <w:rPr>
          <w:rFonts w:asciiTheme="minorHAnsi" w:hAnsiTheme="minorHAnsi"/>
          <w:b w:val="0"/>
          <w:i/>
          <w:iCs/>
        </w:rPr>
        <w:t>Encyclopedia of the Ottoman Empire</w:t>
      </w:r>
      <w:r w:rsidRPr="009E4779">
        <w:rPr>
          <w:rFonts w:asciiTheme="minorHAnsi" w:hAnsiTheme="minorHAnsi"/>
          <w:b w:val="0"/>
          <w:iCs/>
        </w:rPr>
        <w:t>.</w:t>
      </w:r>
      <w:proofErr w:type="gramEnd"/>
      <w:r w:rsidRPr="009E4779">
        <w:rPr>
          <w:rFonts w:asciiTheme="minorHAnsi" w:hAnsiTheme="minorHAnsi"/>
          <w:b w:val="0"/>
          <w:iCs/>
        </w:rPr>
        <w:t xml:space="preserve">  New York: Facts on File, 2009.  429-430.</w:t>
      </w:r>
    </w:p>
    <w:p w14:paraId="45D9CEC6" w14:textId="77777777" w:rsidR="008160EE" w:rsidRPr="009E4779" w:rsidRDefault="008160EE" w:rsidP="008160EE">
      <w:pPr>
        <w:pStyle w:val="BodyText"/>
        <w:tabs>
          <w:tab w:val="left" w:pos="180"/>
        </w:tabs>
        <w:spacing w:before="240"/>
        <w:jc w:val="left"/>
        <w:rPr>
          <w:rFonts w:asciiTheme="minorHAnsi" w:hAnsiTheme="minorHAnsi"/>
          <w:b w:val="0"/>
        </w:rPr>
      </w:pPr>
      <w:r w:rsidRPr="009E4779">
        <w:rPr>
          <w:rFonts w:asciiTheme="minorHAnsi" w:hAnsiTheme="minorHAnsi"/>
          <w:b w:val="0"/>
        </w:rPr>
        <w:t xml:space="preserve"> “Conversion.” Gabor Agoston and Bruce Masters, </w:t>
      </w:r>
      <w:proofErr w:type="gramStart"/>
      <w:r w:rsidRPr="009E4779">
        <w:rPr>
          <w:rFonts w:asciiTheme="minorHAnsi" w:hAnsiTheme="minorHAnsi"/>
          <w:b w:val="0"/>
        </w:rPr>
        <w:t>eds</w:t>
      </w:r>
      <w:proofErr w:type="gramEnd"/>
      <w:r w:rsidRPr="009E4779">
        <w:rPr>
          <w:rFonts w:asciiTheme="minorHAnsi" w:hAnsiTheme="minorHAnsi"/>
          <w:b w:val="0"/>
        </w:rPr>
        <w:t xml:space="preserve">. </w:t>
      </w:r>
      <w:proofErr w:type="gramStart"/>
      <w:r w:rsidRPr="009E4779">
        <w:rPr>
          <w:rFonts w:asciiTheme="minorHAnsi" w:hAnsiTheme="minorHAnsi"/>
          <w:b w:val="0"/>
          <w:i/>
          <w:iCs/>
        </w:rPr>
        <w:t>Encyclopedia of the Ottoman Empire</w:t>
      </w:r>
      <w:r w:rsidRPr="009E4779">
        <w:rPr>
          <w:rFonts w:asciiTheme="minorHAnsi" w:hAnsiTheme="minorHAnsi"/>
          <w:b w:val="0"/>
          <w:iCs/>
        </w:rPr>
        <w:t>.</w:t>
      </w:r>
      <w:proofErr w:type="gramEnd"/>
      <w:r w:rsidRPr="009E4779">
        <w:rPr>
          <w:rFonts w:asciiTheme="minorHAnsi" w:hAnsiTheme="minorHAnsi"/>
          <w:b w:val="0"/>
          <w:iCs/>
        </w:rPr>
        <w:t xml:space="preserve">  New York: Facts on File, 2009. 145-147.</w:t>
      </w:r>
    </w:p>
    <w:p w14:paraId="4FDE5B78" w14:textId="77777777" w:rsidR="008160EE" w:rsidRPr="009E4779" w:rsidRDefault="008160EE" w:rsidP="008160EE">
      <w:pPr>
        <w:rPr>
          <w:b/>
          <w:bCs/>
          <w:u w:val="single"/>
        </w:rPr>
      </w:pPr>
    </w:p>
    <w:p w14:paraId="2067E6C2" w14:textId="77777777" w:rsidR="008160EE" w:rsidRPr="009E4779" w:rsidRDefault="008160EE" w:rsidP="008160EE">
      <w:pPr>
        <w:rPr>
          <w:bCs/>
          <w:u w:val="single"/>
        </w:rPr>
      </w:pPr>
      <w:r w:rsidRPr="009E4779">
        <w:rPr>
          <w:bCs/>
          <w:u w:val="single"/>
        </w:rPr>
        <w:t xml:space="preserve">Recent Invited Seminar and Lecture Presentations </w:t>
      </w:r>
    </w:p>
    <w:p w14:paraId="4D0C63FD" w14:textId="77777777" w:rsidR="008160EE" w:rsidRPr="009E4779" w:rsidRDefault="008160EE" w:rsidP="008160EE">
      <w:pPr>
        <w:rPr>
          <w:bCs/>
          <w:u w:val="single"/>
        </w:rPr>
      </w:pPr>
    </w:p>
    <w:p w14:paraId="6F64ADA2" w14:textId="77777777" w:rsidR="008160EE" w:rsidRPr="009E4779" w:rsidRDefault="008160EE" w:rsidP="008160EE">
      <w:pPr>
        <w:pStyle w:val="Default"/>
        <w:ind w:left="540"/>
        <w:rPr>
          <w:rFonts w:asciiTheme="minorHAnsi" w:hAnsiTheme="minorHAnsi" w:cs="Times New Roman"/>
          <w:b/>
          <w:bCs/>
        </w:rPr>
      </w:pPr>
      <w:r w:rsidRPr="009E4779">
        <w:rPr>
          <w:rFonts w:asciiTheme="minorHAnsi" w:hAnsiTheme="minorHAnsi" w:cs="Times New Roman"/>
        </w:rPr>
        <w:t>Kandersteg Seminar, a by-invitation-only annual seminar for young historians and social scientists organized by the Remarque Institute of the New York University.  Kandersteg, Switzerland, March 29-April 1, 2012.</w:t>
      </w:r>
    </w:p>
    <w:p w14:paraId="0466200F" w14:textId="77777777" w:rsidR="008160EE" w:rsidRPr="009E4779" w:rsidRDefault="008160EE" w:rsidP="008160EE">
      <w:pPr>
        <w:rPr>
          <w:bCs/>
        </w:rPr>
      </w:pPr>
    </w:p>
    <w:p w14:paraId="5CE88AD5" w14:textId="77777777" w:rsidR="008160EE" w:rsidRPr="009E4779" w:rsidRDefault="008160EE" w:rsidP="008160EE">
      <w:pPr>
        <w:pStyle w:val="Default"/>
        <w:ind w:left="540"/>
        <w:rPr>
          <w:rFonts w:asciiTheme="minorHAnsi" w:hAnsiTheme="minorHAnsi" w:cs="Times New Roman"/>
        </w:rPr>
      </w:pPr>
      <w:bookmarkStart w:id="1" w:name="OLE_LINK5"/>
      <w:bookmarkStart w:id="2" w:name="OLE_LINK6"/>
      <w:r w:rsidRPr="009E4779">
        <w:rPr>
          <w:rFonts w:asciiTheme="minorHAnsi" w:hAnsiTheme="minorHAnsi" w:cs="Times New Roman"/>
        </w:rPr>
        <w:t xml:space="preserve">“Towards a Dialogic Approach: Reflections on Theoretical and Methodological    Desiderata in Future Research on Conversion to Islam in the Ottoman Empire.”  Colloque international à l'École française d'Athènes on </w:t>
      </w:r>
      <w:r w:rsidRPr="009E4779">
        <w:rPr>
          <w:rFonts w:asciiTheme="minorHAnsi" w:hAnsiTheme="minorHAnsi" w:cs="Times New Roman"/>
          <w:bCs/>
          <w:i/>
        </w:rPr>
        <w:t xml:space="preserve">Les conversions à l'islam en Asie Mineure </w:t>
      </w:r>
      <w:proofErr w:type="gramStart"/>
      <w:r w:rsidRPr="009E4779">
        <w:rPr>
          <w:rFonts w:asciiTheme="minorHAnsi" w:hAnsiTheme="minorHAnsi" w:cs="Times New Roman"/>
          <w:bCs/>
          <w:i/>
        </w:rPr>
        <w:t>et</w:t>
      </w:r>
      <w:proofErr w:type="gramEnd"/>
      <w:r w:rsidRPr="009E4779">
        <w:rPr>
          <w:rFonts w:asciiTheme="minorHAnsi" w:hAnsiTheme="minorHAnsi" w:cs="Times New Roman"/>
          <w:bCs/>
          <w:i/>
        </w:rPr>
        <w:t xml:space="preserve"> dans les Balkans aux époques seldjoukide</w:t>
      </w:r>
      <w:r w:rsidRPr="009E4779">
        <w:rPr>
          <w:rFonts w:asciiTheme="minorHAnsi" w:hAnsiTheme="minorHAnsi" w:cs="Times New Roman"/>
          <w:b/>
          <w:bCs/>
        </w:rPr>
        <w:t xml:space="preserve"> </w:t>
      </w:r>
      <w:r w:rsidRPr="009E4779">
        <w:rPr>
          <w:rFonts w:asciiTheme="minorHAnsi" w:hAnsiTheme="minorHAnsi" w:cs="Times New Roman"/>
          <w:bCs/>
          <w:i/>
        </w:rPr>
        <w:t>et ottoman</w:t>
      </w:r>
      <w:r w:rsidRPr="009E4779">
        <w:rPr>
          <w:rFonts w:asciiTheme="minorHAnsi" w:hAnsiTheme="minorHAnsi" w:cs="Times New Roman"/>
          <w:b/>
          <w:bCs/>
        </w:rPr>
        <w:t xml:space="preserve">, </w:t>
      </w:r>
      <w:r w:rsidRPr="009E4779">
        <w:rPr>
          <w:rFonts w:asciiTheme="minorHAnsi" w:hAnsiTheme="minorHAnsi" w:cs="Times New Roman"/>
        </w:rPr>
        <w:t>April 26-28, 2012.</w:t>
      </w:r>
    </w:p>
    <w:bookmarkEnd w:id="1"/>
    <w:bookmarkEnd w:id="2"/>
    <w:p w14:paraId="6022EDBC" w14:textId="77777777" w:rsidR="008160EE" w:rsidRPr="009E4779" w:rsidRDefault="008160EE" w:rsidP="008160EE">
      <w:pPr>
        <w:rPr>
          <w:bCs/>
        </w:rPr>
      </w:pPr>
    </w:p>
    <w:p w14:paraId="370735C4" w14:textId="77777777" w:rsidR="008160EE" w:rsidRPr="009E4779" w:rsidRDefault="008160EE" w:rsidP="008160EE">
      <w:pPr>
        <w:ind w:left="525"/>
        <w:rPr>
          <w:bCs/>
        </w:rPr>
      </w:pPr>
      <w:r w:rsidRPr="009E4779">
        <w:rPr>
          <w:bCs/>
        </w:rPr>
        <w:t xml:space="preserve">“Refugees of Empire: Moriscos in the Ottoman Empire, 1570s-1640s.”  Lecture at the seminar on </w:t>
      </w:r>
      <w:r w:rsidRPr="009E4779">
        <w:rPr>
          <w:bCs/>
          <w:i/>
        </w:rPr>
        <w:t xml:space="preserve">Les </w:t>
      </w:r>
      <w:proofErr w:type="gramStart"/>
      <w:r w:rsidRPr="009E4779">
        <w:rPr>
          <w:bCs/>
          <w:i/>
        </w:rPr>
        <w:t>diasporas</w:t>
      </w:r>
      <w:proofErr w:type="gramEnd"/>
      <w:r w:rsidRPr="009E4779">
        <w:rPr>
          <w:bCs/>
          <w:i/>
        </w:rPr>
        <w:t xml:space="preserve"> dans la ville (XVIe-XVIIe siècles)</w:t>
      </w:r>
      <w:r w:rsidRPr="009E4779">
        <w:rPr>
          <w:bCs/>
        </w:rPr>
        <w:t xml:space="preserve"> organized by Natalia Muchnik, </w:t>
      </w:r>
      <w:r w:rsidRPr="009E4779">
        <w:rPr>
          <w:rStyle w:val="Emphasis"/>
          <w:color w:val="000000"/>
          <w:lang w:val="fr-FR"/>
        </w:rPr>
        <w:t>maîtresse de conférences</w:t>
      </w:r>
      <w:r w:rsidRPr="009E4779">
        <w:rPr>
          <w:bCs/>
        </w:rPr>
        <w:t>, EHESS, Paris. November 18, 2011</w:t>
      </w:r>
    </w:p>
    <w:p w14:paraId="2AA66C55" w14:textId="77777777" w:rsidR="008160EE" w:rsidRPr="009E4779" w:rsidRDefault="008160EE" w:rsidP="008160EE">
      <w:pPr>
        <w:rPr>
          <w:bCs/>
          <w:u w:val="single"/>
        </w:rPr>
      </w:pPr>
    </w:p>
    <w:p w14:paraId="4D96C156" w14:textId="77777777" w:rsidR="008160EE" w:rsidRPr="009E4779" w:rsidRDefault="008160EE" w:rsidP="008160EE">
      <w:pPr>
        <w:ind w:left="525"/>
        <w:rPr>
          <w:bCs/>
        </w:rPr>
      </w:pPr>
      <w:r w:rsidRPr="009E4779">
        <w:rPr>
          <w:bCs/>
        </w:rPr>
        <w:t>“Conversion and Confessionalization in the Ottoman Empire, 16</w:t>
      </w:r>
      <w:r w:rsidRPr="009E4779">
        <w:rPr>
          <w:bCs/>
          <w:vertAlign w:val="superscript"/>
        </w:rPr>
        <w:t>th</w:t>
      </w:r>
      <w:r w:rsidRPr="009E4779">
        <w:rPr>
          <w:bCs/>
        </w:rPr>
        <w:t>-17</w:t>
      </w:r>
      <w:r w:rsidRPr="009E4779">
        <w:rPr>
          <w:bCs/>
          <w:vertAlign w:val="superscript"/>
        </w:rPr>
        <w:t>th</w:t>
      </w:r>
      <w:r w:rsidRPr="009E4779">
        <w:rPr>
          <w:bCs/>
        </w:rPr>
        <w:t xml:space="preserve"> Centuries.”  Simon-Dubnow-Institut für jüdische Geschichte und Kultur an der Universität Leipzig, December 9, 2010</w:t>
      </w:r>
    </w:p>
    <w:p w14:paraId="2B83CC85" w14:textId="77777777" w:rsidR="008160EE" w:rsidRPr="009E4779" w:rsidRDefault="008160EE" w:rsidP="008160EE">
      <w:pPr>
        <w:ind w:left="525"/>
        <w:rPr>
          <w:bCs/>
        </w:rPr>
      </w:pPr>
    </w:p>
    <w:p w14:paraId="7A49E0B5" w14:textId="77777777" w:rsidR="008160EE" w:rsidRPr="009E4779" w:rsidRDefault="008160EE" w:rsidP="008160EE">
      <w:pPr>
        <w:ind w:left="525"/>
        <w:rPr>
          <w:bCs/>
        </w:rPr>
      </w:pPr>
      <w:r w:rsidRPr="009E4779">
        <w:rPr>
          <w:bCs/>
        </w:rPr>
        <w:t>“Moriscos in the Ottoman Empire, 16</w:t>
      </w:r>
      <w:r w:rsidRPr="009E4779">
        <w:rPr>
          <w:bCs/>
          <w:vertAlign w:val="superscript"/>
        </w:rPr>
        <w:t>th</w:t>
      </w:r>
      <w:r w:rsidRPr="009E4779">
        <w:rPr>
          <w:bCs/>
        </w:rPr>
        <w:t>-17</w:t>
      </w:r>
      <w:r w:rsidRPr="009E4779">
        <w:rPr>
          <w:bCs/>
          <w:vertAlign w:val="superscript"/>
        </w:rPr>
        <w:t>th</w:t>
      </w:r>
      <w:r w:rsidRPr="009E4779">
        <w:rPr>
          <w:bCs/>
        </w:rPr>
        <w:t xml:space="preserve"> Centuries.”  </w:t>
      </w:r>
      <w:proofErr w:type="gramStart"/>
      <w:r w:rsidRPr="009E4779">
        <w:rPr>
          <w:bCs/>
        </w:rPr>
        <w:t>Lecture at the American Research Institute in Turkey, Istanbul, May 10, 2010.</w:t>
      </w:r>
      <w:proofErr w:type="gramEnd"/>
    </w:p>
    <w:p w14:paraId="7F3E6A26" w14:textId="77777777" w:rsidR="008160EE" w:rsidRPr="009E4779" w:rsidRDefault="008160EE" w:rsidP="008160EE">
      <w:pPr>
        <w:ind w:left="525"/>
        <w:rPr>
          <w:bCs/>
        </w:rPr>
      </w:pPr>
    </w:p>
    <w:p w14:paraId="187B3150" w14:textId="77777777" w:rsidR="008160EE" w:rsidRPr="009E4779" w:rsidRDefault="008160EE" w:rsidP="008160EE">
      <w:pPr>
        <w:ind w:left="540"/>
        <w:rPr>
          <w:color w:val="000000"/>
        </w:rPr>
      </w:pPr>
      <w:proofErr w:type="gramStart"/>
      <w:r w:rsidRPr="009E4779">
        <w:rPr>
          <w:color w:val="000000"/>
        </w:rPr>
        <w:t xml:space="preserve">“Moriscos in Ottoman Galata, 1609-1620s,” Congreso internacional </w:t>
      </w:r>
      <w:r w:rsidRPr="009E4779">
        <w:rPr>
          <w:i/>
          <w:iCs/>
          <w:color w:val="000000"/>
        </w:rPr>
        <w:t>Los Moriscos.</w:t>
      </w:r>
      <w:proofErr w:type="gramEnd"/>
      <w:r w:rsidRPr="009E4779">
        <w:rPr>
          <w:i/>
          <w:iCs/>
          <w:color w:val="000000"/>
        </w:rPr>
        <w:t xml:space="preserve"> La expulsión y después</w:t>
      </w:r>
      <w:r w:rsidRPr="009E4779">
        <w:rPr>
          <w:color w:val="000000"/>
        </w:rPr>
        <w:t>, Sociedad Estatal de las Celebraciones Culturales, Madrid, September 3-4, 2009</w:t>
      </w:r>
    </w:p>
    <w:p w14:paraId="491F8721" w14:textId="77777777" w:rsidR="008160EE" w:rsidRPr="009E4779" w:rsidRDefault="008160EE" w:rsidP="008160EE">
      <w:pPr>
        <w:ind w:left="540"/>
        <w:rPr>
          <w:color w:val="000000"/>
        </w:rPr>
      </w:pPr>
    </w:p>
    <w:p w14:paraId="598FD840" w14:textId="77777777" w:rsidR="008160EE" w:rsidRPr="009E4779" w:rsidRDefault="008160EE" w:rsidP="008160EE">
      <w:pPr>
        <w:ind w:left="540"/>
        <w:rPr>
          <w:color w:val="000000"/>
        </w:rPr>
      </w:pPr>
      <w:r w:rsidRPr="009E4779">
        <w:rPr>
          <w:color w:val="000000"/>
        </w:rPr>
        <w:t>“Texts and Contexts of Conversion to Islam in the Age of Confessionalization,” Lecture at Duke University, March 15, 2009</w:t>
      </w:r>
    </w:p>
    <w:p w14:paraId="7E67F23A" w14:textId="77777777" w:rsidR="008160EE" w:rsidRPr="009E4779" w:rsidRDefault="008160EE" w:rsidP="008160EE">
      <w:pPr>
        <w:rPr>
          <w:bCs/>
        </w:rPr>
      </w:pPr>
      <w:r w:rsidRPr="009E4779">
        <w:rPr>
          <w:bCs/>
        </w:rPr>
        <w:t xml:space="preserve">      </w:t>
      </w:r>
    </w:p>
    <w:p w14:paraId="74C4993F" w14:textId="77777777" w:rsidR="008160EE" w:rsidRPr="009E4779" w:rsidRDefault="008160EE" w:rsidP="008160EE">
      <w:pPr>
        <w:ind w:left="540"/>
        <w:rPr>
          <w:bCs/>
        </w:rPr>
      </w:pPr>
      <w:r w:rsidRPr="009E4779">
        <w:rPr>
          <w:color w:val="000000"/>
        </w:rPr>
        <w:t xml:space="preserve">“Between the Turban and the Papal Tiara: Orthodox Christian Neomartyrs and Their Impresarios in the Age of Confessionalization,” Symposium on </w:t>
      </w:r>
      <w:r w:rsidRPr="009E4779">
        <w:rPr>
          <w:i/>
          <w:iCs/>
          <w:color w:val="000000"/>
        </w:rPr>
        <w:t>Dynamics of Conversion in the Eastern Mediterranean and the Middle East</w:t>
      </w:r>
      <w:r w:rsidRPr="009E4779">
        <w:rPr>
          <w:color w:val="000000"/>
        </w:rPr>
        <w:t xml:space="preserve"> at New York University, February 6, 2009 </w:t>
      </w:r>
    </w:p>
    <w:p w14:paraId="35380198" w14:textId="77777777" w:rsidR="008160EE" w:rsidRPr="009E4779" w:rsidRDefault="008160EE" w:rsidP="008160EE">
      <w:pPr>
        <w:rPr>
          <w:bCs/>
          <w:u w:val="single"/>
        </w:rPr>
      </w:pPr>
    </w:p>
    <w:p w14:paraId="40A1F9DD" w14:textId="77777777" w:rsidR="008160EE" w:rsidRPr="009E4779" w:rsidRDefault="008160EE" w:rsidP="008160EE">
      <w:pPr>
        <w:pStyle w:val="Heading1"/>
        <w:rPr>
          <w:rFonts w:asciiTheme="minorHAnsi" w:hAnsiTheme="minorHAnsi"/>
          <w:b w:val="0"/>
          <w:u w:val="single"/>
        </w:rPr>
      </w:pPr>
      <w:r w:rsidRPr="009E4779">
        <w:rPr>
          <w:rFonts w:asciiTheme="minorHAnsi" w:hAnsiTheme="minorHAnsi"/>
          <w:b w:val="0"/>
          <w:u w:val="single"/>
        </w:rPr>
        <w:t>Recent Workshop and Conference Presentations</w:t>
      </w:r>
    </w:p>
    <w:p w14:paraId="20FB5E5E" w14:textId="77777777" w:rsidR="008160EE" w:rsidRPr="009E4779" w:rsidRDefault="008160EE" w:rsidP="008160EE"/>
    <w:p w14:paraId="665FEFC6" w14:textId="77777777" w:rsidR="008160EE" w:rsidRPr="009E4779" w:rsidRDefault="008160EE" w:rsidP="008160EE">
      <w:pPr>
        <w:autoSpaceDE w:val="0"/>
        <w:autoSpaceDN w:val="0"/>
        <w:adjustRightInd w:val="0"/>
        <w:ind w:left="540"/>
        <w:rPr>
          <w:bCs/>
        </w:rPr>
      </w:pPr>
      <w:r w:rsidRPr="009E4779">
        <w:t xml:space="preserve"> </w:t>
      </w:r>
      <w:r w:rsidRPr="009E4779">
        <w:rPr>
          <w:bCs/>
        </w:rPr>
        <w:t xml:space="preserve">“Defining a Subject of the Sultan’s “Nation”: Law, Religion and Orthodoxy in Ahmed I’s Istanbul.” Paper delivered at the conference of the </w:t>
      </w:r>
      <w:r w:rsidRPr="009E4779">
        <w:rPr>
          <w:bCs/>
          <w:i/>
        </w:rPr>
        <w:t xml:space="preserve">Comité International des Etudes pré-Ottomanes </w:t>
      </w:r>
      <w:proofErr w:type="gramStart"/>
      <w:r w:rsidRPr="009E4779">
        <w:rPr>
          <w:bCs/>
          <w:i/>
        </w:rPr>
        <w:t>et</w:t>
      </w:r>
      <w:proofErr w:type="gramEnd"/>
      <w:r w:rsidRPr="009E4779">
        <w:rPr>
          <w:bCs/>
          <w:i/>
        </w:rPr>
        <w:t xml:space="preserve"> Ottomanes</w:t>
      </w:r>
      <w:r w:rsidRPr="009E4779">
        <w:rPr>
          <w:bCs/>
        </w:rPr>
        <w:t>, Rethymno, Crete, June 27—July 1, 2012</w:t>
      </w:r>
    </w:p>
    <w:p w14:paraId="097E5E8B" w14:textId="77777777" w:rsidR="008160EE" w:rsidRPr="009E4779" w:rsidRDefault="008160EE" w:rsidP="008160EE">
      <w:pPr>
        <w:autoSpaceDE w:val="0"/>
        <w:autoSpaceDN w:val="0"/>
        <w:adjustRightInd w:val="0"/>
        <w:ind w:left="540"/>
        <w:rPr>
          <w:bCs/>
        </w:rPr>
      </w:pPr>
    </w:p>
    <w:p w14:paraId="4FFDA548" w14:textId="77777777" w:rsidR="008160EE" w:rsidRPr="009E4779" w:rsidRDefault="008160EE" w:rsidP="008160EE">
      <w:pPr>
        <w:autoSpaceDE w:val="0"/>
        <w:autoSpaceDN w:val="0"/>
        <w:adjustRightInd w:val="0"/>
        <w:ind w:left="540"/>
        <w:rPr>
          <w:bCs/>
        </w:rPr>
      </w:pPr>
      <w:r w:rsidRPr="009E4779">
        <w:t xml:space="preserve">“Mediating the Mediators: Moriscos in Ottoman and Western Diplomatic Sources from Istanbul, 1570s-1620s.”  Paper delivered at the workshop on </w:t>
      </w:r>
      <w:r w:rsidRPr="009E4779">
        <w:rPr>
          <w:i/>
        </w:rPr>
        <w:t>Cross-confessional Diplomacy and the Diplomatic Mediators in the Early Modern Mediterranean</w:t>
      </w:r>
      <w:r w:rsidRPr="009E4779">
        <w:t xml:space="preserve">, CEU, Budapest, </w:t>
      </w:r>
      <w:proofErr w:type="gramStart"/>
      <w:r w:rsidRPr="009E4779">
        <w:t>May</w:t>
      </w:r>
      <w:proofErr w:type="gramEnd"/>
      <w:r w:rsidRPr="009E4779">
        <w:t xml:space="preserve"> 27-28, 2012. (</w:t>
      </w:r>
      <w:proofErr w:type="gramStart"/>
      <w:r w:rsidRPr="009E4779">
        <w:t>co</w:t>
      </w:r>
      <w:proofErr w:type="gramEnd"/>
      <w:r w:rsidRPr="009E4779">
        <w:t>-organizer of the workshop)</w:t>
      </w:r>
    </w:p>
    <w:p w14:paraId="50BA8A21" w14:textId="77777777" w:rsidR="008160EE" w:rsidRPr="009E4779" w:rsidRDefault="008160EE" w:rsidP="008160EE">
      <w:pPr>
        <w:pStyle w:val="Default"/>
        <w:ind w:left="540"/>
        <w:rPr>
          <w:rFonts w:asciiTheme="minorHAnsi" w:hAnsiTheme="minorHAnsi" w:cs="Times New Roman"/>
        </w:rPr>
      </w:pPr>
    </w:p>
    <w:p w14:paraId="1F51FF10" w14:textId="77777777" w:rsidR="008160EE" w:rsidRPr="009E4779" w:rsidRDefault="008160EE" w:rsidP="008160EE">
      <w:pPr>
        <w:ind w:left="540"/>
        <w:rPr>
          <w:bCs/>
        </w:rPr>
      </w:pPr>
      <w:r w:rsidRPr="009E4779">
        <w:t>“</w:t>
      </w:r>
      <w:r w:rsidRPr="009E4779">
        <w:rPr>
          <w:bCs/>
        </w:rPr>
        <w:t>The Transylvanian Connection—Anti-Trinitarian Habsburg Subjects as Converts to Islam in Sixteenth-Century Ottoman Istanbul.” Paper delivered at the DAAD workshop in Heidelberg, May 2012.</w:t>
      </w:r>
    </w:p>
    <w:p w14:paraId="27B2D1F2" w14:textId="77777777" w:rsidR="008160EE" w:rsidRPr="009E4779" w:rsidRDefault="008160EE" w:rsidP="008160EE">
      <w:pPr>
        <w:ind w:left="540"/>
        <w:rPr>
          <w:bCs/>
        </w:rPr>
      </w:pPr>
    </w:p>
    <w:p w14:paraId="122CEF2F" w14:textId="77777777" w:rsidR="008160EE" w:rsidRPr="009E4779" w:rsidRDefault="008160EE" w:rsidP="008160EE">
      <w:pPr>
        <w:ind w:left="540"/>
        <w:rPr>
          <w:color w:val="000000"/>
        </w:rPr>
      </w:pPr>
      <w:r w:rsidRPr="009E4779">
        <w:t>“In Search of the Morisco “Community” in Ottoman Istanbul, 1570s-1640s.</w:t>
      </w:r>
      <w:r w:rsidRPr="009E4779">
        <w:rPr>
          <w:color w:val="000000"/>
        </w:rPr>
        <w:t xml:space="preserve">”  Paper delivered at the conference on </w:t>
      </w:r>
      <w:r w:rsidRPr="009E4779">
        <w:rPr>
          <w:i/>
          <w:color w:val="000000"/>
        </w:rPr>
        <w:t>Early Modern Migrations</w:t>
      </w:r>
      <w:r w:rsidRPr="009E4779">
        <w:rPr>
          <w:color w:val="000000"/>
        </w:rPr>
        <w:t>, organized by the Center for Renaissance and Reformation Studies at the University of Toronto, April 19-22, 2012</w:t>
      </w:r>
    </w:p>
    <w:p w14:paraId="60E08F60" w14:textId="77777777" w:rsidR="008160EE" w:rsidRPr="009E4779" w:rsidRDefault="008160EE" w:rsidP="008160EE"/>
    <w:p w14:paraId="21E943A6" w14:textId="77777777" w:rsidR="008160EE" w:rsidRPr="009E4779" w:rsidRDefault="008160EE" w:rsidP="008160EE">
      <w:pPr>
        <w:ind w:left="540"/>
      </w:pPr>
      <w:r w:rsidRPr="009E4779">
        <w:t>“Morisco Refugees, Ottoman Authorities and European Communities in Ottoman Galata, 1570s-1630s.”  International Congress of Ottoman Social and Economic History, Retz, Austria, July 11-15, 2011.</w:t>
      </w:r>
    </w:p>
    <w:p w14:paraId="0CD4EEC1" w14:textId="77777777" w:rsidR="008160EE" w:rsidRPr="009E4779" w:rsidRDefault="008160EE" w:rsidP="008160EE">
      <w:pPr>
        <w:ind w:left="405"/>
      </w:pPr>
    </w:p>
    <w:p w14:paraId="5FD82579" w14:textId="77777777" w:rsidR="008160EE" w:rsidRPr="009E4779" w:rsidRDefault="008160EE" w:rsidP="008160EE">
      <w:pPr>
        <w:ind w:left="540"/>
      </w:pPr>
      <w:r w:rsidRPr="009E4779">
        <w:t xml:space="preserve">“Capitulations and Confessionalization: “Spaniards” and other Foreign Residents in Ottoman Galata, 1610-1620.” </w:t>
      </w:r>
      <w:proofErr w:type="gramStart"/>
      <w:r w:rsidRPr="009E4779">
        <w:t xml:space="preserve">Conference on </w:t>
      </w:r>
      <w:r w:rsidRPr="009E4779">
        <w:rPr>
          <w:i/>
        </w:rPr>
        <w:t>Union in Separation—Trading Diasporas</w:t>
      </w:r>
      <w:r w:rsidRPr="009E4779">
        <w:t>, Heidelberg University, February 19, 2011.</w:t>
      </w:r>
      <w:proofErr w:type="gramEnd"/>
    </w:p>
    <w:p w14:paraId="0222781D" w14:textId="77777777" w:rsidR="008160EE" w:rsidRPr="009E4779" w:rsidRDefault="008160EE" w:rsidP="008160EE"/>
    <w:p w14:paraId="7F66AC40" w14:textId="77777777" w:rsidR="008160EE" w:rsidRPr="009E4779" w:rsidRDefault="008160EE" w:rsidP="008160EE">
      <w:pPr>
        <w:ind w:left="465"/>
      </w:pPr>
      <w:r w:rsidRPr="009E4779">
        <w:t>“Conversion to Islam, “Tolerance,” and Choreographies of Sacred in 16</w:t>
      </w:r>
      <w:r w:rsidRPr="009E4779">
        <w:rPr>
          <w:vertAlign w:val="superscript"/>
        </w:rPr>
        <w:t>th</w:t>
      </w:r>
      <w:r w:rsidRPr="009E4779">
        <w:t>- and 17</w:t>
      </w:r>
      <w:r w:rsidRPr="009E4779">
        <w:rPr>
          <w:vertAlign w:val="superscript"/>
        </w:rPr>
        <w:t>th</w:t>
      </w:r>
      <w:r w:rsidRPr="009E4779">
        <w:t xml:space="preserve">- Century Ottoman Empire.”  Conference on </w:t>
      </w:r>
      <w:r w:rsidRPr="009E4779">
        <w:rPr>
          <w:i/>
        </w:rPr>
        <w:t>Choreography of Sacred Spaces: State, Religion and Conflict Resolution</w:t>
      </w:r>
      <w:r w:rsidRPr="009E4779">
        <w:t>, Boğazici University, May 6-7, 2010.</w:t>
      </w:r>
    </w:p>
    <w:p w14:paraId="20EB0A8A" w14:textId="77777777" w:rsidR="008160EE" w:rsidRPr="009E4779" w:rsidRDefault="008160EE" w:rsidP="008160EE"/>
    <w:p w14:paraId="74002147" w14:textId="77777777" w:rsidR="008160EE" w:rsidRPr="009E4779" w:rsidRDefault="008160EE" w:rsidP="008160EE">
      <w:pPr>
        <w:ind w:left="510"/>
      </w:pPr>
      <w:r w:rsidRPr="009E4779">
        <w:rPr>
          <w:bCs/>
        </w:rPr>
        <w:t xml:space="preserve">“Patron of the Protestants? Sokollu Mehmed Pasha and the Global Confessional Politics of the Late Sixteenth Century.”  </w:t>
      </w:r>
      <w:r w:rsidRPr="009E4779">
        <w:rPr>
          <w:bCs/>
          <w:i/>
        </w:rPr>
        <w:t>Middle Eastern Studies Association</w:t>
      </w:r>
      <w:r w:rsidRPr="009E4779">
        <w:rPr>
          <w:bCs/>
        </w:rPr>
        <w:t xml:space="preserve"> meeting in Boston, November 21-24, 2009.</w:t>
      </w:r>
    </w:p>
    <w:p w14:paraId="44099621" w14:textId="77777777" w:rsidR="008160EE" w:rsidRPr="009E4779" w:rsidRDefault="008160EE" w:rsidP="008160EE"/>
    <w:p w14:paraId="3ED15B36" w14:textId="77777777" w:rsidR="008160EE" w:rsidRPr="009E4779" w:rsidRDefault="008160EE" w:rsidP="008160EE">
      <w:pPr>
        <w:ind w:left="480"/>
        <w:rPr>
          <w:bCs/>
        </w:rPr>
      </w:pPr>
    </w:p>
    <w:p w14:paraId="00A4FDB0" w14:textId="77777777" w:rsidR="008160EE" w:rsidRPr="009E4779" w:rsidRDefault="008160EE" w:rsidP="008160EE">
      <w:pPr>
        <w:rPr>
          <w:u w:val="single"/>
        </w:rPr>
      </w:pPr>
      <w:r w:rsidRPr="009E4779">
        <w:rPr>
          <w:u w:val="single"/>
        </w:rPr>
        <w:t>Membership in Professional Societies/Organizations</w:t>
      </w:r>
    </w:p>
    <w:p w14:paraId="54A4FEF6" w14:textId="77777777" w:rsidR="008160EE" w:rsidRPr="009E4779" w:rsidRDefault="008160EE" w:rsidP="008160EE">
      <w:r w:rsidRPr="009E4779">
        <w:t>American Historical Association</w:t>
      </w:r>
    </w:p>
    <w:p w14:paraId="58D5FBC8" w14:textId="77777777" w:rsidR="008160EE" w:rsidRPr="009E4779" w:rsidRDefault="008160EE" w:rsidP="008160EE">
      <w:r w:rsidRPr="009E4779">
        <w:t>Middle Eastern Studies Association</w:t>
      </w:r>
    </w:p>
    <w:p w14:paraId="242919D9" w14:textId="77777777" w:rsidR="008160EE" w:rsidRPr="009E4779" w:rsidRDefault="008160EE" w:rsidP="008160EE">
      <w:r w:rsidRPr="009E4779">
        <w:t>Sixteenth-Century Conference Association</w:t>
      </w:r>
    </w:p>
    <w:p w14:paraId="57D16CC7" w14:textId="77777777" w:rsidR="008160EE" w:rsidRPr="009E4779" w:rsidRDefault="008160EE" w:rsidP="008160EE">
      <w:r w:rsidRPr="009E4779">
        <w:t>Renaissance Society of America</w:t>
      </w:r>
    </w:p>
    <w:p w14:paraId="1846EB0F" w14:textId="77777777" w:rsidR="008160EE" w:rsidRPr="009E4779" w:rsidRDefault="008160EE" w:rsidP="008160EE">
      <w:pPr>
        <w:rPr>
          <w:u w:val="single"/>
        </w:rPr>
      </w:pPr>
    </w:p>
    <w:p w14:paraId="73B44CFA" w14:textId="77777777" w:rsidR="008160EE" w:rsidRPr="009E4779" w:rsidRDefault="008160EE" w:rsidP="008160EE">
      <w:pPr>
        <w:rPr>
          <w:u w:val="single"/>
        </w:rPr>
      </w:pPr>
      <w:r w:rsidRPr="009E4779">
        <w:rPr>
          <w:u w:val="single"/>
        </w:rPr>
        <w:t>Language Skills</w:t>
      </w:r>
    </w:p>
    <w:p w14:paraId="66FA0B4E" w14:textId="77777777" w:rsidR="008160EE" w:rsidRPr="009E4779" w:rsidRDefault="008160EE" w:rsidP="008160EE">
      <w:pPr>
        <w:ind w:left="4320" w:hanging="4320"/>
      </w:pPr>
      <w:r w:rsidRPr="009E4779">
        <w:t>Fluent</w:t>
      </w:r>
      <w:r w:rsidRPr="009E4779">
        <w:tab/>
        <w:t xml:space="preserve">    Serbo-Croatian, English</w:t>
      </w:r>
    </w:p>
    <w:p w14:paraId="21908C2D" w14:textId="77777777" w:rsidR="008160EE" w:rsidRPr="009E4779" w:rsidRDefault="008160EE" w:rsidP="008160EE">
      <w:r w:rsidRPr="009E4779">
        <w:t>Advanced reading and speaking skills</w:t>
      </w:r>
      <w:r w:rsidRPr="009E4779">
        <w:tab/>
        <w:t xml:space="preserve">    Bulgarian, Turkish</w:t>
      </w:r>
    </w:p>
    <w:p w14:paraId="415E4FD9" w14:textId="77777777" w:rsidR="008160EE" w:rsidRPr="009E4779" w:rsidRDefault="008160EE" w:rsidP="008160EE">
      <w:r w:rsidRPr="009E4779">
        <w:t>Advanced reading skills</w:t>
      </w:r>
      <w:r w:rsidRPr="009E4779">
        <w:tab/>
      </w:r>
      <w:r w:rsidRPr="009E4779">
        <w:tab/>
      </w:r>
      <w:r w:rsidRPr="009E4779">
        <w:tab/>
        <w:t xml:space="preserve">    Ottoman Turkish</w:t>
      </w:r>
    </w:p>
    <w:p w14:paraId="5A2A05D5" w14:textId="77777777" w:rsidR="008160EE" w:rsidRPr="009E4779" w:rsidRDefault="008160EE" w:rsidP="008160EE">
      <w:r w:rsidRPr="009E4779">
        <w:t>Intermediate reading skills</w:t>
      </w:r>
      <w:r w:rsidRPr="009E4779">
        <w:tab/>
      </w:r>
      <w:r w:rsidRPr="009E4779">
        <w:tab/>
      </w:r>
      <w:r w:rsidRPr="009E4779">
        <w:tab/>
        <w:t xml:space="preserve">    German, French, Spanish, Italian </w:t>
      </w:r>
    </w:p>
    <w:p w14:paraId="192E9998" w14:textId="77777777" w:rsidR="008160EE" w:rsidRPr="009E4779" w:rsidRDefault="008160EE" w:rsidP="008160EE">
      <w:pPr>
        <w:ind w:left="4560" w:hanging="4560"/>
      </w:pPr>
      <w:r w:rsidRPr="009E4779">
        <w:t>Basic reading skills</w:t>
      </w:r>
      <w:r w:rsidRPr="009E4779">
        <w:tab/>
        <w:t>Latin, Hungarian</w:t>
      </w:r>
    </w:p>
    <w:p w14:paraId="2BC70E33" w14:textId="77777777" w:rsidR="008160EE" w:rsidRPr="009E4779" w:rsidRDefault="008160EE" w:rsidP="008160EE">
      <w:pPr>
        <w:ind w:left="4560" w:hanging="4560"/>
      </w:pPr>
      <w:r w:rsidRPr="009E4779">
        <w:t>Beginner level</w:t>
      </w:r>
      <w:r w:rsidRPr="009E4779">
        <w:tab/>
        <w:t>Arabic</w:t>
      </w:r>
    </w:p>
    <w:p w14:paraId="0E7873ED" w14:textId="77777777" w:rsidR="00293759" w:rsidRPr="009E4779" w:rsidRDefault="00293759"/>
    <w:sectPr w:rsidR="00293759" w:rsidRPr="009E4779" w:rsidSect="002937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2C1BAC"/>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EE"/>
    <w:rsid w:val="00141780"/>
    <w:rsid w:val="00293759"/>
    <w:rsid w:val="004230A6"/>
    <w:rsid w:val="008160EE"/>
    <w:rsid w:val="009E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35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0E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EE"/>
    <w:rPr>
      <w:rFonts w:ascii="Times New Roman" w:eastAsia="Times New Roman" w:hAnsi="Times New Roman" w:cs="Times New Roman"/>
      <w:b/>
      <w:bCs/>
    </w:rPr>
  </w:style>
  <w:style w:type="paragraph" w:styleId="BodyText">
    <w:name w:val="Body Text"/>
    <w:basedOn w:val="Normal"/>
    <w:link w:val="BodyTextChar"/>
    <w:rsid w:val="008160EE"/>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rsid w:val="008160EE"/>
    <w:rPr>
      <w:rFonts w:ascii="Times New Roman" w:eastAsia="Times New Roman" w:hAnsi="Times New Roman" w:cs="Times New Roman"/>
      <w:b/>
      <w:bCs/>
    </w:rPr>
  </w:style>
  <w:style w:type="paragraph" w:styleId="FootnoteText">
    <w:name w:val="footnote text"/>
    <w:basedOn w:val="Normal"/>
    <w:link w:val="FootnoteTextChar"/>
    <w:semiHidden/>
    <w:rsid w:val="008160E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160EE"/>
    <w:rPr>
      <w:rFonts w:ascii="Times New Roman" w:eastAsia="Times New Roman" w:hAnsi="Times New Roman" w:cs="Times New Roman"/>
      <w:sz w:val="20"/>
      <w:szCs w:val="20"/>
    </w:rPr>
  </w:style>
  <w:style w:type="character" w:styleId="Emphasis">
    <w:name w:val="Emphasis"/>
    <w:uiPriority w:val="20"/>
    <w:qFormat/>
    <w:rsid w:val="008160EE"/>
    <w:rPr>
      <w:i/>
      <w:iCs/>
    </w:rPr>
  </w:style>
  <w:style w:type="character" w:customStyle="1" w:styleId="ft">
    <w:name w:val="ft"/>
    <w:basedOn w:val="DefaultParagraphFont"/>
    <w:rsid w:val="008160EE"/>
  </w:style>
  <w:style w:type="paragraph" w:customStyle="1" w:styleId="Default">
    <w:name w:val="Default"/>
    <w:rsid w:val="008160EE"/>
    <w:pPr>
      <w:autoSpaceDE w:val="0"/>
      <w:autoSpaceDN w:val="0"/>
      <w:adjustRightInd w:val="0"/>
    </w:pPr>
    <w:rPr>
      <w:rFonts w:ascii="Verdana" w:eastAsia="Calibri" w:hAnsi="Verdana" w:cs="Verdana"/>
      <w:color w:val="000000"/>
    </w:rPr>
  </w:style>
  <w:style w:type="paragraph" w:styleId="ListParagraph">
    <w:name w:val="List Paragraph"/>
    <w:basedOn w:val="Normal"/>
    <w:uiPriority w:val="34"/>
    <w:qFormat/>
    <w:rsid w:val="008160EE"/>
    <w:pPr>
      <w:ind w:left="720"/>
      <w:contextualSpacing/>
    </w:pPr>
  </w:style>
  <w:style w:type="character" w:styleId="Hyperlink">
    <w:name w:val="Hyperlink"/>
    <w:basedOn w:val="DefaultParagraphFont"/>
    <w:uiPriority w:val="99"/>
    <w:unhideWhenUsed/>
    <w:rsid w:val="008160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60EE"/>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EE"/>
    <w:rPr>
      <w:rFonts w:ascii="Times New Roman" w:eastAsia="Times New Roman" w:hAnsi="Times New Roman" w:cs="Times New Roman"/>
      <w:b/>
      <w:bCs/>
    </w:rPr>
  </w:style>
  <w:style w:type="paragraph" w:styleId="BodyText">
    <w:name w:val="Body Text"/>
    <w:basedOn w:val="Normal"/>
    <w:link w:val="BodyTextChar"/>
    <w:rsid w:val="008160EE"/>
    <w:pPr>
      <w:jc w:val="center"/>
    </w:pPr>
    <w:rPr>
      <w:rFonts w:ascii="Times New Roman" w:eastAsia="Times New Roman" w:hAnsi="Times New Roman" w:cs="Times New Roman"/>
      <w:b/>
      <w:bCs/>
    </w:rPr>
  </w:style>
  <w:style w:type="character" w:customStyle="1" w:styleId="BodyTextChar">
    <w:name w:val="Body Text Char"/>
    <w:basedOn w:val="DefaultParagraphFont"/>
    <w:link w:val="BodyText"/>
    <w:rsid w:val="008160EE"/>
    <w:rPr>
      <w:rFonts w:ascii="Times New Roman" w:eastAsia="Times New Roman" w:hAnsi="Times New Roman" w:cs="Times New Roman"/>
      <w:b/>
      <w:bCs/>
    </w:rPr>
  </w:style>
  <w:style w:type="paragraph" w:styleId="FootnoteText">
    <w:name w:val="footnote text"/>
    <w:basedOn w:val="Normal"/>
    <w:link w:val="FootnoteTextChar"/>
    <w:semiHidden/>
    <w:rsid w:val="008160E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160EE"/>
    <w:rPr>
      <w:rFonts w:ascii="Times New Roman" w:eastAsia="Times New Roman" w:hAnsi="Times New Roman" w:cs="Times New Roman"/>
      <w:sz w:val="20"/>
      <w:szCs w:val="20"/>
    </w:rPr>
  </w:style>
  <w:style w:type="character" w:styleId="Emphasis">
    <w:name w:val="Emphasis"/>
    <w:uiPriority w:val="20"/>
    <w:qFormat/>
    <w:rsid w:val="008160EE"/>
    <w:rPr>
      <w:i/>
      <w:iCs/>
    </w:rPr>
  </w:style>
  <w:style w:type="character" w:customStyle="1" w:styleId="ft">
    <w:name w:val="ft"/>
    <w:basedOn w:val="DefaultParagraphFont"/>
    <w:rsid w:val="008160EE"/>
  </w:style>
  <w:style w:type="paragraph" w:customStyle="1" w:styleId="Default">
    <w:name w:val="Default"/>
    <w:rsid w:val="008160EE"/>
    <w:pPr>
      <w:autoSpaceDE w:val="0"/>
      <w:autoSpaceDN w:val="0"/>
      <w:adjustRightInd w:val="0"/>
    </w:pPr>
    <w:rPr>
      <w:rFonts w:ascii="Verdana" w:eastAsia="Calibri" w:hAnsi="Verdana" w:cs="Verdana"/>
      <w:color w:val="000000"/>
    </w:rPr>
  </w:style>
  <w:style w:type="paragraph" w:styleId="ListParagraph">
    <w:name w:val="List Paragraph"/>
    <w:basedOn w:val="Normal"/>
    <w:uiPriority w:val="34"/>
    <w:qFormat/>
    <w:rsid w:val="008160EE"/>
    <w:pPr>
      <w:ind w:left="720"/>
      <w:contextualSpacing/>
    </w:pPr>
  </w:style>
  <w:style w:type="character" w:styleId="Hyperlink">
    <w:name w:val="Hyperlink"/>
    <w:basedOn w:val="DefaultParagraphFont"/>
    <w:uiPriority w:val="99"/>
    <w:unhideWhenUsed/>
    <w:rsid w:val="00816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stict@ce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1605</Words>
  <Characters>9152</Characters>
  <Application>Microsoft Macintosh Word</Application>
  <DocSecurity>0</DocSecurity>
  <Lines>76</Lines>
  <Paragraphs>21</Paragraphs>
  <ScaleCrop>false</ScaleCrop>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KRSTIC</dc:creator>
  <cp:keywords/>
  <dc:description/>
  <cp:lastModifiedBy>TIJANA KRSTIC</cp:lastModifiedBy>
  <cp:revision>2</cp:revision>
  <dcterms:created xsi:type="dcterms:W3CDTF">2016-02-01T09:00:00Z</dcterms:created>
  <dcterms:modified xsi:type="dcterms:W3CDTF">2016-02-01T09:13:00Z</dcterms:modified>
</cp:coreProperties>
</file>